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7C" w:rsidRPr="00501143" w:rsidRDefault="00D2417C" w:rsidP="00D2417C">
      <w:pPr>
        <w:jc w:val="right"/>
        <w:rPr>
          <w:rFonts w:ascii="Arial" w:hAnsi="Arial" w:cs="Arial"/>
          <w:bCs/>
          <w:i/>
          <w:noProof/>
          <w:sz w:val="22"/>
          <w:szCs w:val="22"/>
        </w:rPr>
      </w:pPr>
      <w:r w:rsidRPr="00501143">
        <w:rPr>
          <w:rFonts w:ascii="Arial" w:hAnsi="Arial" w:cs="Arial"/>
          <w:bCs/>
          <w:i/>
          <w:sz w:val="22"/>
          <w:szCs w:val="22"/>
        </w:rPr>
        <w:t>Załącznik nr 6 do SIWZ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rPr>
          <w:b/>
          <w:bCs/>
          <w:noProof/>
        </w:rPr>
      </w:pPr>
      <w:r w:rsidRPr="00501143">
        <w:rPr>
          <w:noProof/>
          <w:sz w:val="22"/>
          <w:szCs w:val="22"/>
        </w:rPr>
        <w:t>(pieczęć Wykonawcy)</w:t>
      </w:r>
      <w:r w:rsidRPr="00501143">
        <w:rPr>
          <w:noProof/>
          <w:sz w:val="22"/>
          <w:szCs w:val="22"/>
        </w:rPr>
        <w:tab/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501143">
        <w:rPr>
          <w:rFonts w:ascii="Arial" w:hAnsi="Arial" w:cs="Arial"/>
          <w:b/>
          <w:bCs/>
          <w:noProof/>
          <w:sz w:val="28"/>
          <w:szCs w:val="28"/>
        </w:rPr>
        <w:t>FORMULARZ JAKOŚCIOWY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center"/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</w:pPr>
      <w:r w:rsidRPr="00501143">
        <w:rPr>
          <w:rFonts w:ascii="Arial" w:hAnsi="Arial" w:cs="Arial"/>
          <w:b/>
          <w:bCs/>
          <w:i/>
          <w:noProof/>
          <w:color w:val="FF6600"/>
          <w:sz w:val="20"/>
          <w:szCs w:val="20"/>
        </w:rPr>
        <w:t>(uwaga formularz  składamy na wezwanie Zamawiającego)</w:t>
      </w:r>
    </w:p>
    <w:p w:rsidR="00D2417C" w:rsidRPr="00501143" w:rsidRDefault="00D2417C" w:rsidP="00D2417C">
      <w:pPr>
        <w:tabs>
          <w:tab w:val="left" w:pos="6795"/>
        </w:tabs>
        <w:autoSpaceDE w:val="0"/>
        <w:autoSpaceDN w:val="0"/>
        <w:adjustRightInd w:val="0"/>
        <w:spacing w:line="400" w:lineRule="atLeast"/>
        <w:jc w:val="both"/>
        <w:rPr>
          <w:rFonts w:ascii="Arial" w:eastAsia="MSTT31f280fb10o209088S00" w:hAnsi="Arial" w:cs="Arial"/>
          <w:b/>
          <w:bCs/>
        </w:rPr>
      </w:pPr>
      <w:r w:rsidRPr="00501143">
        <w:rPr>
          <w:rFonts w:ascii="Arial" w:eastAsia="MSTT31f280fb10o209088S00" w:hAnsi="Arial" w:cs="Arial"/>
          <w:b/>
          <w:bCs/>
          <w:sz w:val="28"/>
          <w:szCs w:val="28"/>
        </w:rPr>
        <w:t>Zamawiający</w:t>
      </w:r>
      <w:r>
        <w:rPr>
          <w:rFonts w:ascii="Arial" w:eastAsia="MSTT31f280fb10o209088S00" w:hAnsi="Arial" w:cs="Arial"/>
          <w:b/>
          <w:bCs/>
          <w:sz w:val="28"/>
          <w:szCs w:val="28"/>
        </w:rPr>
        <w:tab/>
      </w:r>
    </w:p>
    <w:p w:rsidR="00D2417C" w:rsidRPr="00501143" w:rsidRDefault="00D2417C" w:rsidP="00D2417C">
      <w:pPr>
        <w:pStyle w:val="Nagwek5"/>
        <w:numPr>
          <w:ilvl w:val="4"/>
          <w:numId w:val="0"/>
        </w:numPr>
        <w:tabs>
          <w:tab w:val="num" w:pos="0"/>
        </w:tabs>
        <w:suppressAutoHyphens/>
        <w:spacing w:before="0" w:after="0" w:line="400" w:lineRule="atLeast"/>
        <w:ind w:left="1008" w:hanging="1008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50114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Państwowa Wyższa Szkoła Informatyki i Przedsiębiorczości w Łomży</w:t>
      </w:r>
    </w:p>
    <w:p w:rsidR="00D2417C" w:rsidRPr="00501143" w:rsidRDefault="00D2417C" w:rsidP="00D2417C">
      <w:pPr>
        <w:spacing w:line="400" w:lineRule="atLeast"/>
        <w:jc w:val="both"/>
        <w:rPr>
          <w:rFonts w:ascii="Arial" w:hAnsi="Arial" w:cs="Arial"/>
        </w:rPr>
      </w:pPr>
      <w:r w:rsidRPr="00501143">
        <w:rPr>
          <w:rFonts w:ascii="Arial" w:hAnsi="Arial" w:cs="Arial"/>
        </w:rPr>
        <w:t>ul. Akademicka 14, 18-400 Łomża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both"/>
        <w:rPr>
          <w:rFonts w:ascii="Arial" w:hAnsi="Arial" w:cs="Arial"/>
          <w:b/>
          <w:bCs/>
          <w:noProof/>
          <w:sz w:val="28"/>
          <w:szCs w:val="28"/>
        </w:rPr>
      </w:pPr>
      <w:r w:rsidRPr="00501143">
        <w:rPr>
          <w:rFonts w:ascii="Arial" w:hAnsi="Arial" w:cs="Arial"/>
          <w:b/>
          <w:bCs/>
          <w:noProof/>
          <w:sz w:val="28"/>
          <w:szCs w:val="28"/>
        </w:rPr>
        <w:t>Wykonawca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Nazwa: ………………………………………………….…………….…….………………..…………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01143">
        <w:rPr>
          <w:rFonts w:ascii="Arial" w:hAnsi="Arial" w:cs="Arial"/>
          <w:sz w:val="22"/>
          <w:szCs w:val="22"/>
        </w:rPr>
        <w:t>Siedziba: ………….…..………………………………………………………………….…………….</w:t>
      </w:r>
    </w:p>
    <w:p w:rsidR="00D2417C" w:rsidRPr="00501143" w:rsidRDefault="00D2417C" w:rsidP="00D2417C">
      <w:pPr>
        <w:tabs>
          <w:tab w:val="left" w:pos="561"/>
        </w:tabs>
        <w:spacing w:line="400" w:lineRule="atLeast"/>
        <w:jc w:val="both"/>
        <w:rPr>
          <w:rFonts w:ascii="Arial" w:hAnsi="Arial" w:cs="Arial"/>
          <w:sz w:val="22"/>
          <w:szCs w:val="22"/>
        </w:rPr>
      </w:pPr>
    </w:p>
    <w:p w:rsidR="00D2417C" w:rsidRDefault="00D2417C" w:rsidP="00D2417C">
      <w:pPr>
        <w:jc w:val="center"/>
        <w:rPr>
          <w:rFonts w:ascii="Arial" w:hAnsi="Arial" w:cs="Arial"/>
          <w:b/>
          <w:sz w:val="22"/>
          <w:szCs w:val="22"/>
        </w:rPr>
      </w:pPr>
      <w:r w:rsidRPr="00501143">
        <w:rPr>
          <w:rFonts w:ascii="Arial" w:hAnsi="Arial" w:cs="Arial"/>
          <w:b/>
          <w:sz w:val="22"/>
          <w:szCs w:val="22"/>
        </w:rPr>
        <w:t xml:space="preserve">„Dostawa </w:t>
      </w:r>
      <w:r>
        <w:rPr>
          <w:rFonts w:ascii="Arial" w:hAnsi="Arial" w:cs="Arial"/>
          <w:b/>
          <w:sz w:val="22"/>
          <w:szCs w:val="22"/>
        </w:rPr>
        <w:t>sprzętu komputerowego i oprogramowania biurowego</w:t>
      </w:r>
      <w:r w:rsidRPr="00501143">
        <w:rPr>
          <w:rFonts w:ascii="Arial" w:hAnsi="Arial" w:cs="Arial"/>
          <w:b/>
          <w:sz w:val="22"/>
          <w:szCs w:val="22"/>
        </w:rPr>
        <w:t>”</w:t>
      </w:r>
    </w:p>
    <w:p w:rsidR="00D2417C" w:rsidRPr="00BE03AE" w:rsidRDefault="00D2417C" w:rsidP="00D2417C">
      <w:pPr>
        <w:jc w:val="both"/>
        <w:rPr>
          <w:rFonts w:ascii="Arial" w:hAnsi="Arial" w:cs="Arial"/>
          <w:sz w:val="22"/>
          <w:szCs w:val="22"/>
        </w:rPr>
      </w:pPr>
    </w:p>
    <w:p w:rsidR="00D2417C" w:rsidRPr="00BE03AE" w:rsidRDefault="00D2417C" w:rsidP="00D2417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E03AE">
        <w:rPr>
          <w:rFonts w:ascii="Arial" w:hAnsi="Arial" w:cs="Arial"/>
          <w:b/>
          <w:sz w:val="22"/>
          <w:szCs w:val="22"/>
          <w:u w:val="single"/>
        </w:rPr>
        <w:t xml:space="preserve">Zadanie 1 - Dostawa </w:t>
      </w:r>
      <w:r>
        <w:rPr>
          <w:rFonts w:ascii="Arial" w:hAnsi="Arial" w:cs="Arial"/>
          <w:b/>
          <w:sz w:val="22"/>
          <w:szCs w:val="22"/>
          <w:u w:val="single"/>
        </w:rPr>
        <w:t>sprzętu komputerowego</w:t>
      </w:r>
    </w:p>
    <w:p w:rsidR="00D2417C" w:rsidRPr="00BE03AE" w:rsidRDefault="00D2417C" w:rsidP="00D2417C">
      <w:p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D2417C" w:rsidRPr="00062CE7" w:rsidRDefault="00D2417C" w:rsidP="00D2417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Komputer stacjonarny</w:t>
      </w:r>
      <w:r w:rsidRPr="00BE03AE">
        <w:rPr>
          <w:rFonts w:ascii="Arial" w:eastAsia="Calibri" w:hAnsi="Arial" w:cs="Arial"/>
          <w:sz w:val="22"/>
          <w:szCs w:val="22"/>
          <w:lang w:eastAsia="en-US"/>
        </w:rPr>
        <w:t xml:space="preserve"> – </w:t>
      </w:r>
      <w:r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BE03AE">
        <w:rPr>
          <w:rFonts w:ascii="Arial" w:eastAsia="Calibri" w:hAnsi="Arial" w:cs="Arial"/>
          <w:sz w:val="22"/>
          <w:szCs w:val="22"/>
          <w:lang w:eastAsia="en-US"/>
        </w:rPr>
        <w:t xml:space="preserve"> szt.</w:t>
      </w:r>
      <w:r w:rsidRPr="00062CE7"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………………………..………………………….…………</w:t>
      </w:r>
    </w:p>
    <w:p w:rsidR="00D2417C" w:rsidRPr="00062CE7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062CE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</w:t>
      </w:r>
      <w:r w:rsidRPr="00062CE7">
        <w:rPr>
          <w:rFonts w:ascii="Arial" w:eastAsia="Calibri" w:hAnsi="Arial" w:cs="Arial"/>
          <w:sz w:val="20"/>
          <w:szCs w:val="20"/>
          <w:lang w:eastAsia="en-US"/>
        </w:rPr>
        <w:t>typ, model oferowanego przedmiotu zamówienia</w:t>
      </w:r>
    </w:p>
    <w:p w:rsidR="00D2417C" w:rsidRPr="00BE03AE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25"/>
        <w:gridCol w:w="2905"/>
      </w:tblGrid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25" w:type="dxa"/>
          </w:tcPr>
          <w:p w:rsidR="00D2417C" w:rsidRPr="00062CE7" w:rsidRDefault="00D2417C" w:rsidP="00EE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Parametry, funkcjonalności</w:t>
            </w:r>
          </w:p>
        </w:tc>
        <w:tc>
          <w:tcPr>
            <w:tcW w:w="2905" w:type="dxa"/>
          </w:tcPr>
          <w:p w:rsidR="00D2417C" w:rsidRPr="00062CE7" w:rsidRDefault="00D2417C" w:rsidP="00EE5F0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Oferowane parametry, funkcjonalności</w:t>
            </w: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pPr>
              <w:rPr>
                <w:bCs/>
              </w:rPr>
            </w:pPr>
            <w:r w:rsidRPr="0022521A">
              <w:t>Komputer stacjonarny w o</w:t>
            </w:r>
            <w:r w:rsidRPr="0022521A">
              <w:rPr>
                <w:bCs/>
              </w:rPr>
              <w:t xml:space="preserve">budowie typu Tower umożliwiającej instalację karty pełnej wysokości w slocie PCI express, z możliwością zabezpieczenia fizycznego typu </w:t>
            </w:r>
            <w:proofErr w:type="spellStart"/>
            <w:r w:rsidRPr="0022521A">
              <w:rPr>
                <w:bCs/>
              </w:rPr>
              <w:t>Kensingtone</w:t>
            </w:r>
            <w:proofErr w:type="spellEnd"/>
            <w:r w:rsidRPr="0022521A">
              <w:rPr>
                <w:bCs/>
              </w:rPr>
              <w:t xml:space="preserve"> lub podobnego. Obudowa trwale oznakowana nazwą producenta, nazwą modelu oraz numerem seryjnym komputera. Otwory wentylacyjne mogą znajdować się tylko w przedniej i tylnej ścianie obudowy z zapewnieniem cyrkulacji powietrza w kierunku przód – tył.</w:t>
            </w:r>
          </w:p>
          <w:p w:rsidR="00D2417C" w:rsidRPr="0022521A" w:rsidRDefault="00D2417C" w:rsidP="00EE5F03">
            <w:r w:rsidRPr="0022521A">
              <w:t>Obudowa musi umożliwiać pracę komputera w pozycji pionowej oraz poziomej.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 xml:space="preserve">Przeznaczenie: Uruchamianie aplikacji biurowych, aplikacji edukacyjnych, dostęp do Internetu i aplikacji WWW, narzędzi programistycznych (np. Visual Studio, Android Studio), bazodanowych (np. MSSQL, </w:t>
            </w:r>
            <w:proofErr w:type="spellStart"/>
            <w:r w:rsidRPr="0022521A">
              <w:t>Postgresql</w:t>
            </w:r>
            <w:proofErr w:type="spellEnd"/>
            <w:r w:rsidRPr="0022521A">
              <w:t xml:space="preserve">, </w:t>
            </w:r>
            <w:proofErr w:type="spellStart"/>
            <w:r w:rsidRPr="0022521A">
              <w:t>MySql</w:t>
            </w:r>
            <w:proofErr w:type="spellEnd"/>
            <w:r w:rsidRPr="0022521A">
              <w:t xml:space="preserve">) oraz aplikacji do przetwarzania audio-wideo (np. </w:t>
            </w:r>
            <w:proofErr w:type="spellStart"/>
            <w:r w:rsidRPr="0022521A">
              <w:t>Blender</w:t>
            </w:r>
            <w:proofErr w:type="spellEnd"/>
            <w:r w:rsidRPr="0022521A">
              <w:t xml:space="preserve">, Adobe Photoshop, Adobe </w:t>
            </w:r>
            <w:proofErr w:type="spellStart"/>
            <w:r w:rsidRPr="0022521A">
              <w:t>Premiere</w:t>
            </w:r>
            <w:proofErr w:type="spellEnd"/>
            <w:r w:rsidRPr="0022521A">
              <w:t xml:space="preserve">, OBS </w:t>
            </w:r>
            <w:proofErr w:type="spellStart"/>
            <w:r w:rsidRPr="0022521A">
              <w:t>Stiudio</w:t>
            </w:r>
            <w:proofErr w:type="spellEnd"/>
            <w:r w:rsidRPr="0022521A">
              <w:t>);</w:t>
            </w:r>
          </w:p>
          <w:p w:rsidR="00D2417C" w:rsidRPr="0022521A" w:rsidRDefault="00D2417C" w:rsidP="00EE5F03">
            <w:r w:rsidRPr="0022521A">
              <w:t>Nauczanie programowania współbieżnego i rozproszonego metodami komunikacji międzyprocesowej i synchronizacji procesów, rozwiązywanie problemów związanych z dzieleniem zasobów a także specyfiką komunikacji i synchronizacji w przetwarzaniu rozproszonym, z wykorzystaniem wielordzeniowych jednostek centralnych CPU oraz jednostek przetwarzania graficznego GPU z zaimplementowaną obsługa sprzętową technologii CUDA;</w:t>
            </w:r>
          </w:p>
          <w:p w:rsidR="00D2417C" w:rsidRPr="0022521A" w:rsidRDefault="00D2417C" w:rsidP="00EE5F03">
            <w:r w:rsidRPr="0022521A">
              <w:t xml:space="preserve">Nauczanie modelowania i animacji i renderingu obiektów w środowisku 3D programie </w:t>
            </w:r>
            <w:proofErr w:type="spellStart"/>
            <w:r w:rsidRPr="0022521A">
              <w:t>Blender</w:t>
            </w:r>
            <w:proofErr w:type="spellEnd"/>
            <w:r w:rsidRPr="0022521A">
              <w:t xml:space="preserve"> i 3DMax.</w:t>
            </w:r>
          </w:p>
          <w:p w:rsidR="00D2417C" w:rsidRPr="0022521A" w:rsidRDefault="00D2417C" w:rsidP="00EE5F03">
            <w:r w:rsidRPr="0022521A">
              <w:t xml:space="preserve">Uruchamianie jednoczesne kilku systemów operacyjnych z wykorzystaniem oprogramowania do wirtualizacji (np. </w:t>
            </w:r>
            <w:proofErr w:type="spellStart"/>
            <w:r w:rsidRPr="0022521A">
              <w:t>VirtualBox</w:t>
            </w:r>
            <w:proofErr w:type="spellEnd"/>
            <w:r w:rsidRPr="0022521A">
              <w:t xml:space="preserve">, </w:t>
            </w:r>
            <w:proofErr w:type="spellStart"/>
            <w:r w:rsidRPr="0022521A">
              <w:t>VMWare</w:t>
            </w:r>
            <w:proofErr w:type="spellEnd"/>
            <w:r w:rsidRPr="0022521A">
              <w:t xml:space="preserve"> Workstation).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56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D43AEC" w:rsidRDefault="00D2417C" w:rsidP="00EE5F03">
            <w:pPr>
              <w:rPr>
                <w:bCs/>
              </w:rPr>
            </w:pPr>
            <w:r w:rsidRPr="00D43AEC">
              <w:rPr>
                <w:bCs/>
              </w:rPr>
              <w:t xml:space="preserve">Procesor przeznaczony do uruchamiania systemów 64 bitowych, zaprojektowany do pracy w komputerach stacjonarnych, zapewniający wydajność komputera ocenioną na </w:t>
            </w:r>
            <w:r w:rsidRPr="00055880">
              <w:rPr>
                <w:bCs/>
              </w:rPr>
              <w:t>co najmniej 13600</w:t>
            </w:r>
            <w:r w:rsidRPr="00055880">
              <w:rPr>
                <w:bCs/>
                <w:color w:val="FF0000"/>
              </w:rPr>
              <w:t xml:space="preserve"> </w:t>
            </w:r>
            <w:r w:rsidRPr="00055880">
              <w:rPr>
                <w:bCs/>
              </w:rPr>
              <w:t>punktów</w:t>
            </w:r>
            <w:r w:rsidRPr="00D43AEC">
              <w:rPr>
                <w:bCs/>
              </w:rPr>
              <w:t>, zgodnie z zestawieniem opublikowanym na stronie:</w:t>
            </w:r>
          </w:p>
          <w:p w:rsidR="00D2417C" w:rsidRPr="0022521A" w:rsidRDefault="00D2417C" w:rsidP="00EE5F03">
            <w:hyperlink r:id="rId5" w:history="1">
              <w:r w:rsidRPr="00767FB4">
                <w:rPr>
                  <w:rStyle w:val="Hipercze"/>
                  <w:bCs/>
                </w:rPr>
                <w:t>http://www.cpubenchmark.net/cpu_list.php</w:t>
              </w:r>
            </w:hyperlink>
            <w:r>
              <w:rPr>
                <w:bCs/>
              </w:rPr>
              <w:t xml:space="preserve"> </w:t>
            </w:r>
            <w:r w:rsidRPr="00D43AEC">
              <w:rPr>
                <w:bCs/>
              </w:rPr>
              <w:t xml:space="preserve"> w dniu ogłoszenia niniejszego postępowania a stanowiącym </w:t>
            </w:r>
            <w:r w:rsidRPr="00055880">
              <w:rPr>
                <w:bCs/>
              </w:rPr>
              <w:t>Załącznik nr 8 do</w:t>
            </w:r>
            <w:r w:rsidRPr="00D43AEC">
              <w:rPr>
                <w:bCs/>
              </w:rPr>
              <w:t xml:space="preserve"> SIWZ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 xml:space="preserve">1 dysk twardy typu SSD </w:t>
            </w:r>
            <w:r>
              <w:t xml:space="preserve">z interfejsem </w:t>
            </w:r>
            <w:proofErr w:type="spellStart"/>
            <w:r>
              <w:t>PCIe</w:t>
            </w:r>
            <w:proofErr w:type="spellEnd"/>
            <w:r>
              <w:t xml:space="preserve"> </w:t>
            </w:r>
            <w:r w:rsidRPr="0022521A">
              <w:t>o pojemności co najmniej 2</w:t>
            </w:r>
            <w:r>
              <w:t>56</w:t>
            </w:r>
            <w:r w:rsidRPr="0022521A">
              <w:t xml:space="preserve"> GB </w:t>
            </w:r>
          </w:p>
          <w:p w:rsidR="00D2417C" w:rsidRPr="0022521A" w:rsidRDefault="00D2417C" w:rsidP="00EE5F03">
            <w:r w:rsidRPr="0022521A">
              <w:t>1 dysk typu HDD o pojemności co najmniej 1</w:t>
            </w:r>
            <w:r>
              <w:t>000</w:t>
            </w:r>
            <w:r w:rsidRPr="0022521A">
              <w:t xml:space="preserve"> </w:t>
            </w:r>
            <w:r>
              <w:t>G</w:t>
            </w:r>
            <w:r w:rsidRPr="0022521A">
              <w:t>B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Pamięć RAM nie mniej niż 16 GB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970941" w:rsidRDefault="00D2417C" w:rsidP="00EE5F03">
            <w:r w:rsidRPr="00970941">
              <w:t>Dedykowana karta graficzna z pamięcią własną co najmniej 4 GB, umożliwiającą wyświetlenie obrazu o rozdzielczości min 4096 × 2160 pikseli.</w:t>
            </w:r>
          </w:p>
          <w:p w:rsidR="00D2417C" w:rsidRPr="00970941" w:rsidRDefault="00D2417C" w:rsidP="00EE5F03">
            <w:r w:rsidRPr="00970941">
              <w:t>Wsparcie dla równoległej technologii obliczeniowej CUDA oraz aplikacji</w:t>
            </w:r>
            <w:r>
              <w:t xml:space="preserve"> </w:t>
            </w:r>
            <w:proofErr w:type="spellStart"/>
            <w:r w:rsidRPr="00970941">
              <w:t>Blender</w:t>
            </w:r>
            <w:proofErr w:type="spellEnd"/>
            <w:r w:rsidRPr="00970941">
              <w:t xml:space="preserve"> i 3DMax;</w:t>
            </w:r>
          </w:p>
          <w:p w:rsidR="00D2417C" w:rsidRPr="00970941" w:rsidRDefault="00D2417C" w:rsidP="00EE5F03">
            <w:r w:rsidRPr="00970941">
              <w:t xml:space="preserve">Wydajność karty graficznej oceniona na co </w:t>
            </w:r>
            <w:r w:rsidRPr="00055880">
              <w:t xml:space="preserve">najmniej 6968 punktów w teście </w:t>
            </w:r>
            <w:proofErr w:type="spellStart"/>
            <w:r w:rsidRPr="00055880">
              <w:t>VideocardBenchmarks</w:t>
            </w:r>
            <w:proofErr w:type="spellEnd"/>
            <w:r w:rsidRPr="00055880">
              <w:t xml:space="preserve"> opublikowanym</w:t>
            </w:r>
            <w:r w:rsidRPr="00970941">
              <w:t xml:space="preserve"> na stronie </w:t>
            </w:r>
            <w:hyperlink r:id="rId6" w:history="1">
              <w:r w:rsidRPr="00473C48">
                <w:rPr>
                  <w:rStyle w:val="Hipercze"/>
                </w:rPr>
                <w:t>http://www.videocardbenchmark.net/gpu_list.php</w:t>
              </w:r>
            </w:hyperlink>
            <w:r>
              <w:t xml:space="preserve"> </w:t>
            </w:r>
            <w:r w:rsidRPr="00970941">
              <w:rPr>
                <w:bCs/>
              </w:rPr>
              <w:t xml:space="preserve">w dniu ogłoszenia niniejszego postępowania a stanowiącym </w:t>
            </w:r>
            <w:r w:rsidRPr="00055880">
              <w:rPr>
                <w:bCs/>
              </w:rPr>
              <w:t>Załącznik nr 9 do</w:t>
            </w:r>
            <w:r w:rsidRPr="00970941">
              <w:rPr>
                <w:bCs/>
              </w:rPr>
              <w:t xml:space="preserve"> SIWZ</w:t>
            </w:r>
          </w:p>
          <w:p w:rsidR="00D2417C" w:rsidRPr="0022521A" w:rsidRDefault="00D2417C" w:rsidP="00EE5F03">
            <w:pPr>
              <w:rPr>
                <w:highlight w:val="yellow"/>
              </w:rPr>
            </w:pPr>
            <w:r w:rsidRPr="00970941">
              <w:t xml:space="preserve">Wymagana obsługa najnowszych standardów DIRECTX oraz </w:t>
            </w:r>
            <w:proofErr w:type="spellStart"/>
            <w:r w:rsidRPr="00970941">
              <w:t>OpenGL</w:t>
            </w:r>
            <w:proofErr w:type="spellEnd"/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56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 xml:space="preserve">Karta dźwiękowa Zgodna z High Definition (HD) Audio ze złączami wejściowymi </w:t>
            </w:r>
            <w:r>
              <w:t xml:space="preserve">na </w:t>
            </w:r>
            <w:r w:rsidRPr="0022521A">
              <w:t>przedniej ścianie komputera</w:t>
            </w:r>
            <w:r>
              <w:t xml:space="preserve"> </w:t>
            </w:r>
            <w:r w:rsidRPr="0022521A">
              <w:t>i </w:t>
            </w:r>
            <w:r>
              <w:t xml:space="preserve">wejściowymi i </w:t>
            </w:r>
            <w:r w:rsidRPr="0022521A">
              <w:t>wyjściowymi na tylnej ścianie komputera</w:t>
            </w:r>
            <w:r>
              <w:t>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Złącza na ścianie przedniej: co najmniej 2 złącza USB</w:t>
            </w:r>
            <w:r>
              <w:t>3</w:t>
            </w:r>
            <w:r w:rsidRPr="0022521A">
              <w:t>, złącze słuchawek</w:t>
            </w:r>
            <w:r>
              <w:t>/głośnikowe</w:t>
            </w:r>
            <w:r w:rsidRPr="0022521A">
              <w:t xml:space="preserve">, złącze </w:t>
            </w:r>
            <w:r>
              <w:t xml:space="preserve">czytnika </w:t>
            </w:r>
            <w:r w:rsidRPr="0022521A">
              <w:t>kart SD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56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Złącza na tylnej ścianie: co najmniej 4 złącza USB w tym co najmniej 2 USB3, wejście audio, wyjście audio, RJ45, 2 wyjścia grafiki.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41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Napęd optyczny umożliwiający odczyt i zapis płyt w standardach CD, DVD, DVD+DL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56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 xml:space="preserve">Karta sieciowa Ethernet umożliwiająca transmisję z prędkościami: 100/1000 </w:t>
            </w:r>
            <w:proofErr w:type="spellStart"/>
            <w:r w:rsidRPr="0022521A">
              <w:t>Mbit</w:t>
            </w:r>
            <w:proofErr w:type="spellEnd"/>
            <w:r w:rsidRPr="0022521A">
              <w:t>/s,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256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Klawiatura pełnowymiarowa, układ typu QWERTY (polski programisty), przewodowa podłączana przez port USB lub PS2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755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Przewodowa mysz z sensorem optycznym i rolką, podłączana do portu USB wraz z podkładką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755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shd w:val="clear" w:color="auto" w:fill="auto"/>
          </w:tcPr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BIOS musi posiadać możliwości: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 xml:space="preserve">- ustawienia hasła dostępu do </w:t>
            </w:r>
            <w:proofErr w:type="spellStart"/>
            <w:r w:rsidRPr="0022521A">
              <w:rPr>
                <w:rFonts w:eastAsia="Times New Roman"/>
                <w:sz w:val="22"/>
                <w:szCs w:val="22"/>
              </w:rPr>
              <w:t>BIOSu</w:t>
            </w:r>
            <w:proofErr w:type="spellEnd"/>
            <w:r w:rsidRPr="0022521A">
              <w:rPr>
                <w:rFonts w:eastAsia="Times New Roman"/>
                <w:sz w:val="22"/>
                <w:szCs w:val="22"/>
              </w:rPr>
              <w:t xml:space="preserve"> (administratora), 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- blokadę portów USB, COM (jeżeli dostępne);</w:t>
            </w:r>
          </w:p>
          <w:p w:rsidR="00D2417C" w:rsidRPr="0022521A" w:rsidRDefault="00D2417C" w:rsidP="00EE5F03">
            <w:r w:rsidRPr="0022521A">
              <w:t>- możliwość wyłączenia w BIOS-ie portów USB;</w:t>
            </w:r>
          </w:p>
          <w:p w:rsidR="00D2417C" w:rsidRPr="0022521A" w:rsidRDefault="00D2417C" w:rsidP="00EE5F03">
            <w:r w:rsidRPr="0022521A">
              <w:t xml:space="preserve">- kontrola sekwencji </w:t>
            </w:r>
            <w:proofErr w:type="spellStart"/>
            <w:r w:rsidRPr="0022521A">
              <w:t>boot</w:t>
            </w:r>
            <w:r>
              <w:t>uj</w:t>
            </w:r>
            <w:r w:rsidRPr="0022521A">
              <w:t>ącej</w:t>
            </w:r>
            <w:proofErr w:type="spellEnd"/>
            <w:r w:rsidRPr="0022521A">
              <w:t>;</w:t>
            </w:r>
          </w:p>
          <w:p w:rsidR="00D2417C" w:rsidRPr="0022521A" w:rsidRDefault="00D2417C" w:rsidP="00EE5F03">
            <w:r w:rsidRPr="0022521A">
              <w:t xml:space="preserve">- włączanie/wyłączanie wsparcia sprzętowego dla obsługi środowiska </w:t>
            </w:r>
            <w:proofErr w:type="spellStart"/>
            <w:r w:rsidRPr="0022521A">
              <w:t>zwirtualizowanego</w:t>
            </w:r>
            <w:proofErr w:type="spellEnd"/>
            <w:r w:rsidRPr="0022521A">
              <w:t>;</w:t>
            </w:r>
          </w:p>
          <w:p w:rsidR="00D2417C" w:rsidRPr="0022521A" w:rsidRDefault="00D2417C" w:rsidP="00EE5F03">
            <w:r w:rsidRPr="0022521A">
              <w:t>- start systemu z dysku twardego, czytnika CD/DVD, urządzenia USB, z sieci w standardzie PXE;</w:t>
            </w:r>
          </w:p>
          <w:p w:rsidR="00D2417C" w:rsidRPr="0022521A" w:rsidRDefault="00D2417C" w:rsidP="00EE5F03">
            <w:r w:rsidRPr="0022521A">
              <w:t xml:space="preserve">Ponadto BIOS musi przechowywać informacje: nazwa producenta, model i numer seryjny komputera. Informacje te wraz z wersją i datą produkcji biosu muszą być dostępne dla aplikacji diagnostycznych i służących do inwentaryzacji sprzętu (np. OCS Inventory, </w:t>
            </w:r>
            <w:proofErr w:type="spellStart"/>
            <w:r w:rsidRPr="0022521A">
              <w:t>MagikINFO</w:t>
            </w:r>
            <w:proofErr w:type="spellEnd"/>
            <w:r w:rsidRPr="0022521A">
              <w:t>)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498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Komputer musi posiadać zintegrowany z płytą główną układ kryptograficzny pozwalający na szyfrowanie danych zapisanych na dysku twardym.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 xml:space="preserve">Komputer musi posiadać funkcjonalność zarządzania i monitorowania zdalnego na poziomie sprzętowym działającą niezależnie od systemu operacyjnego oraz stanu włączenia komputera zgodnie ze standardem ISO/IEC 17963:2013 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Wymagane funkcje zarządzania to: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- zdalne włączenie komputera,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- zdalne wyłączenie komputera,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- zdalne monitorowanie wersji i ustawień BIOS, modelu komputera, numeru seryjnego, informacji o zainstalowanym procesorze, pamięci RAM z dostępnością slotów oraz zainstalowanych dyskach twardych,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- możliwość definiowania dodatkowych kot użytkowników z możliwością ograniczania uprawnień do funkcji zdalnego włączania komputera.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 xml:space="preserve">Funkcje zarządzania muszą być dostępne za pomocą przeglądarki internetowej oraz dedykowanego oprogramowania instalowanego na stacji zarządzającej, z użyciem protokołów sieciowych IPv4 i IPv6 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Komunikacja między stacją zarządzającą i zarządzaną powinna tego samego interfejsu Ethernet co transmisja danych użytkowych oraz powinna być zabezpieczona protokołami szyfrującymi np. SSL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Głośność/ emisja szumów: zgodna z normą ISO 9296 / ISO 7779 w trybie jałowym (</w:t>
            </w:r>
            <w:proofErr w:type="spellStart"/>
            <w:r w:rsidRPr="0022521A">
              <w:rPr>
                <w:rFonts w:eastAsia="Times New Roman"/>
                <w:sz w:val="22"/>
                <w:szCs w:val="22"/>
              </w:rPr>
              <w:t>Idle</w:t>
            </w:r>
            <w:proofErr w:type="spellEnd"/>
            <w:r w:rsidRPr="0022521A">
              <w:rPr>
                <w:rFonts w:eastAsia="Times New Roman"/>
                <w:sz w:val="22"/>
                <w:szCs w:val="22"/>
              </w:rPr>
              <w:t>) emisja szumów nie powinna przekraczać 29dB;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rFonts w:eastAsia="Times New Roman"/>
                <w:sz w:val="22"/>
                <w:szCs w:val="22"/>
              </w:rPr>
            </w:pPr>
            <w:r w:rsidRPr="0022521A">
              <w:rPr>
                <w:rFonts w:eastAsia="Times New Roman"/>
                <w:sz w:val="22"/>
                <w:szCs w:val="22"/>
              </w:rPr>
              <w:t>Wymagane jest dołączenie do oferty kopii odpowiedniego certyfikatu lub deklaracji producenta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shd w:val="clear" w:color="auto" w:fill="auto"/>
            <w:vAlign w:val="center"/>
          </w:tcPr>
          <w:p w:rsidR="00D2417C" w:rsidRPr="0022521A" w:rsidRDefault="00D2417C" w:rsidP="00EE5F03">
            <w:pPr>
              <w:pStyle w:val="Standardowywlewo"/>
              <w:jc w:val="left"/>
              <w:rPr>
                <w:bCs/>
                <w:sz w:val="22"/>
                <w:szCs w:val="22"/>
              </w:rPr>
            </w:pPr>
            <w:r w:rsidRPr="0022521A">
              <w:rPr>
                <w:bCs/>
                <w:sz w:val="22"/>
                <w:szCs w:val="22"/>
              </w:rPr>
              <w:t>Zasilanie z sieci energetycznej 240V 50Hz</w:t>
            </w:r>
          </w:p>
          <w:p w:rsidR="00D2417C" w:rsidRPr="0022521A" w:rsidRDefault="00D2417C" w:rsidP="00EE5F03">
            <w:pPr>
              <w:pStyle w:val="Standardowywlewo"/>
              <w:jc w:val="left"/>
              <w:rPr>
                <w:bCs/>
                <w:sz w:val="22"/>
                <w:szCs w:val="22"/>
              </w:rPr>
            </w:pPr>
            <w:r w:rsidRPr="0022521A">
              <w:rPr>
                <w:bCs/>
                <w:sz w:val="22"/>
                <w:szCs w:val="22"/>
              </w:rPr>
              <w:t xml:space="preserve">Zgodny z normą ENERGY STAR 6.0 lub nowszą – wymagane jest dostarczenie kopii certyfikatu lub wydruk ze strony </w:t>
            </w:r>
            <w:hyperlink r:id="rId7" w:history="1">
              <w:r w:rsidRPr="0022521A">
                <w:rPr>
                  <w:rStyle w:val="Hipercze"/>
                  <w:bCs/>
                  <w:sz w:val="22"/>
                  <w:szCs w:val="22"/>
                </w:rPr>
                <w:t>www.energystar.gov</w:t>
              </w:r>
            </w:hyperlink>
            <w:r w:rsidRPr="0022521A">
              <w:rPr>
                <w:bCs/>
                <w:sz w:val="22"/>
                <w:szCs w:val="22"/>
              </w:rPr>
              <w:t xml:space="preserve"> lub </w:t>
            </w:r>
            <w:hyperlink r:id="rId8" w:history="1">
              <w:r w:rsidRPr="0022521A">
                <w:rPr>
                  <w:rStyle w:val="Hipercze"/>
                  <w:bCs/>
                  <w:sz w:val="22"/>
                  <w:szCs w:val="22"/>
                </w:rPr>
                <w:t>www.eu-energystar.org</w:t>
              </w:r>
            </w:hyperlink>
            <w:r w:rsidRPr="0022521A">
              <w:rPr>
                <w:bCs/>
                <w:sz w:val="22"/>
                <w:szCs w:val="22"/>
              </w:rPr>
              <w:t xml:space="preserve"> dotyczącego oferowanego modelu komputera.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vAlign w:val="center"/>
          </w:tcPr>
          <w:p w:rsidR="00D2417C" w:rsidRPr="0022521A" w:rsidRDefault="00D2417C" w:rsidP="00EE5F03">
            <w:pPr>
              <w:rPr>
                <w:bCs/>
              </w:rPr>
            </w:pPr>
            <w:r w:rsidRPr="0022521A">
              <w:rPr>
                <w:bCs/>
              </w:rPr>
              <w:t>Komputer powinien być wyprodukowany zgodnie z normami ISO 9001 oraz</w:t>
            </w:r>
            <w:r w:rsidRPr="0022521A">
              <w:t xml:space="preserve"> ISO 14001</w:t>
            </w:r>
            <w:r w:rsidRPr="0022521A">
              <w:rPr>
                <w:bCs/>
              </w:rPr>
              <w:t>,</w:t>
            </w:r>
          </w:p>
          <w:p w:rsidR="00D2417C" w:rsidRPr="0022521A" w:rsidRDefault="00D2417C" w:rsidP="00EE5F03">
            <w:pPr>
              <w:rPr>
                <w:bCs/>
              </w:rPr>
            </w:pPr>
            <w:r w:rsidRPr="0022521A">
              <w:rPr>
                <w:bCs/>
              </w:rPr>
              <w:t xml:space="preserve">Deklaracja zgodności CE, </w:t>
            </w:r>
            <w:proofErr w:type="spellStart"/>
            <w:r w:rsidRPr="0022521A">
              <w:rPr>
                <w:bCs/>
              </w:rPr>
              <w:t>RoHS</w:t>
            </w:r>
            <w:proofErr w:type="spellEnd"/>
          </w:p>
          <w:p w:rsidR="00D2417C" w:rsidRPr="0022521A" w:rsidRDefault="00D2417C" w:rsidP="00EE5F03">
            <w:pPr>
              <w:rPr>
                <w:bCs/>
              </w:rPr>
            </w:pPr>
            <w:r w:rsidRPr="0022521A">
              <w:rPr>
                <w:snapToGrid w:val="0"/>
                <w:color w:val="000000"/>
              </w:rPr>
              <w:t>Wymagane jest dołączenie do oferty kopii certyfikatów lub deklaracji producenta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 xml:space="preserve">System operacyjny dla zastosowań profesjonalnych w polskiej wersji językowej umożliwiający zarządzanie lokalne oraz za pomocą centralnego kontrolera usług katalogowych </w:t>
            </w:r>
            <w:proofErr w:type="spellStart"/>
            <w:r w:rsidRPr="0022521A">
              <w:t>ActiveDirectory</w:t>
            </w:r>
            <w:proofErr w:type="spellEnd"/>
            <w:r w:rsidRPr="0022521A">
              <w:t xml:space="preserve"> elementów środowisk użytkowników i komputerów takich jak:</w:t>
            </w:r>
          </w:p>
          <w:p w:rsidR="00D2417C" w:rsidRPr="0022521A" w:rsidRDefault="00D2417C" w:rsidP="00EE5F03">
            <w:r w:rsidRPr="0022521A">
              <w:t>- podłączanie lub usuwanie dysków sieciowych,</w:t>
            </w:r>
          </w:p>
          <w:p w:rsidR="00D2417C" w:rsidRPr="0022521A" w:rsidRDefault="00D2417C" w:rsidP="00EE5F03">
            <w:r w:rsidRPr="0022521A">
              <w:t>- tworzenie, modyfikowanie lub usuwanie zmiennych środowiskowych,</w:t>
            </w:r>
          </w:p>
          <w:p w:rsidR="00D2417C" w:rsidRPr="0022521A" w:rsidRDefault="00D2417C" w:rsidP="00EE5F03">
            <w:r w:rsidRPr="0022521A">
              <w:t>- tworzenie, modyfikowanie lub anulowanie udostępniania udziałów dyskowych,</w:t>
            </w:r>
          </w:p>
          <w:p w:rsidR="00D2417C" w:rsidRPr="0022521A" w:rsidRDefault="00D2417C" w:rsidP="00EE5F03">
            <w:r w:rsidRPr="0022521A">
              <w:t>- tworzenie, modyfikowanie lub usuwanie połączeń drukarek lokalnych oraz dostępnych w sieci lokalnej za pomocą protokołu TCP/IP,</w:t>
            </w:r>
          </w:p>
          <w:p w:rsidR="00D2417C" w:rsidRPr="0022521A" w:rsidRDefault="00D2417C" w:rsidP="00EE5F03">
            <w:r w:rsidRPr="0022521A">
              <w:t>- włączanie lub wyłączanie urządzeń sprzętowych lub klas urządzeń np. pamięci USB,</w:t>
            </w:r>
          </w:p>
          <w:p w:rsidR="00D2417C" w:rsidRPr="0022521A" w:rsidRDefault="00D2417C" w:rsidP="00EE5F03">
            <w:r w:rsidRPr="0022521A">
              <w:t>- modyfikację menu głównego graficznego interfejsu użytkownika,</w:t>
            </w:r>
          </w:p>
          <w:p w:rsidR="00D2417C" w:rsidRPr="0022521A" w:rsidRDefault="00D2417C" w:rsidP="00EE5F03">
            <w:r w:rsidRPr="0022521A">
              <w:t>- tworzenie, modyfikowanie lub usuwanie grup i użytkowników lokalnych,</w:t>
            </w:r>
          </w:p>
          <w:p w:rsidR="00D2417C" w:rsidRPr="0022521A" w:rsidRDefault="00D2417C" w:rsidP="00EE5F03">
            <w:r w:rsidRPr="0022521A">
              <w:t>- tworzenie i modyfikację restrykcji dotyczących haseł (długość, okres ważności, złożoność) kont użytkowników lokalnych i sieciowych,</w:t>
            </w:r>
          </w:p>
          <w:p w:rsidR="00D2417C" w:rsidRPr="0022521A" w:rsidRDefault="00D2417C" w:rsidP="00EE5F03">
            <w:r w:rsidRPr="0022521A">
              <w:t xml:space="preserve">- modyfikację ustawień lokalnej zapory sieciowej z możliwością ograniczania uprawnień administratora lokalnego, </w:t>
            </w:r>
          </w:p>
          <w:p w:rsidR="00D2417C" w:rsidRPr="0022521A" w:rsidRDefault="00D2417C" w:rsidP="00EE5F03">
            <w:r w:rsidRPr="0022521A">
              <w:t>- wprowadzanie indywidualnych modyfikacji centralnej bazy danych ustawień konfiguracyjnych systemu operacyjnego i aplikacji.</w:t>
            </w:r>
          </w:p>
          <w:p w:rsidR="00D2417C" w:rsidRPr="0022521A" w:rsidRDefault="00D2417C" w:rsidP="00EE5F03">
            <w:r w:rsidRPr="0022521A">
              <w:t>System powinien umożliwiać zdalne podłączanie do konsoli graficznej komputera przez administratora lub innego uprawnionego użytkownika z możliwością współdzielenia zasobów lokalnego i zdalnego komputera, takich jak drukarki, dyski lokalne, pamięć podręczna.</w:t>
            </w:r>
          </w:p>
          <w:p w:rsidR="00D2417C" w:rsidRPr="0022521A" w:rsidRDefault="00D2417C" w:rsidP="00EE5F03">
            <w:r w:rsidRPr="0022521A">
              <w:t>Producent systemu operacyjnego powinien udostępniać aktualizacje oprogramowania, które mogą być pobierane i instalowane automatycznie lub za pomocą specjalnego oprogramowania instalowanego na serwerze pozwalającego na zarządzanie aktualizacjami przez administratora.</w:t>
            </w:r>
          </w:p>
          <w:p w:rsidR="00D2417C" w:rsidRPr="0022521A" w:rsidRDefault="00D2417C" w:rsidP="00EE5F03">
            <w:r w:rsidRPr="0022521A">
              <w:t xml:space="preserve">Pierwsze uruchomienie oraz </w:t>
            </w:r>
            <w:proofErr w:type="spellStart"/>
            <w:r w:rsidRPr="0022521A">
              <w:t>reinstalacja</w:t>
            </w:r>
            <w:proofErr w:type="spellEnd"/>
            <w:r w:rsidRPr="0022521A">
              <w:t xml:space="preserve"> systemu operacyjnego nie może wymagać aktywacji w systemach producenta.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r w:rsidRPr="0022521A">
              <w:t>Producent komputera musi zapewnić bieżący dostęp do najnowszych wersji sterowników i oprogramowania diagnostycznego, weryfikacji konfiguracji sprzętowej oraz informacji o gwarancji za pomocą strony internetowe po weryfikacji za pomocą numeru seryjnego urządzenia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rPr>
          <w:cantSplit/>
          <w:trHeight w:val="513"/>
        </w:trPr>
        <w:tc>
          <w:tcPr>
            <w:tcW w:w="534" w:type="dxa"/>
          </w:tcPr>
          <w:p w:rsidR="00D2417C" w:rsidRPr="00BE03AE" w:rsidRDefault="00D2417C" w:rsidP="00D2417C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D2417C" w:rsidRPr="0022521A" w:rsidRDefault="00D2417C" w:rsidP="00EE5F03">
            <w:pPr>
              <w:tabs>
                <w:tab w:val="left" w:pos="1168"/>
              </w:tabs>
            </w:pPr>
            <w:r w:rsidRPr="0022521A">
              <w:rPr>
                <w:bCs/>
              </w:rPr>
              <w:t xml:space="preserve">Gwarancja </w:t>
            </w:r>
            <w:r w:rsidRPr="00055880">
              <w:rPr>
                <w:bCs/>
              </w:rPr>
              <w:t>minimum 36 miesiące</w:t>
            </w:r>
          </w:p>
        </w:tc>
        <w:tc>
          <w:tcPr>
            <w:tcW w:w="2905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17C" w:rsidRDefault="00D2417C" w:rsidP="00D2417C">
      <w:pPr>
        <w:rPr>
          <w:rFonts w:ascii="Arial" w:hAnsi="Arial" w:cs="Arial"/>
          <w:sz w:val="22"/>
          <w:szCs w:val="22"/>
        </w:rPr>
      </w:pPr>
    </w:p>
    <w:p w:rsidR="00D2417C" w:rsidRPr="00BE03AE" w:rsidRDefault="00D2417C" w:rsidP="00D2417C">
      <w:pPr>
        <w:rPr>
          <w:rFonts w:ascii="Arial" w:hAnsi="Arial" w:cs="Arial"/>
          <w:sz w:val="22"/>
          <w:szCs w:val="22"/>
        </w:rPr>
      </w:pPr>
    </w:p>
    <w:p w:rsidR="00D2417C" w:rsidRPr="00062CE7" w:rsidRDefault="00D2417C" w:rsidP="00D2417C">
      <w:pPr>
        <w:numPr>
          <w:ilvl w:val="0"/>
          <w:numId w:val="2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>Monitor – 20</w:t>
      </w:r>
      <w:r w:rsidRPr="00BE03AE">
        <w:rPr>
          <w:rFonts w:ascii="Arial" w:eastAsia="Calibri" w:hAnsi="Arial" w:cs="Arial"/>
          <w:sz w:val="22"/>
          <w:szCs w:val="22"/>
          <w:lang w:eastAsia="en-US"/>
        </w:rPr>
        <w:t xml:space="preserve"> szt.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…………………………..…</w:t>
      </w:r>
    </w:p>
    <w:p w:rsidR="00D2417C" w:rsidRPr="00062CE7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 w:rsidRPr="00062CE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</w:t>
      </w:r>
      <w:r w:rsidRPr="00062CE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</w:t>
      </w:r>
      <w:r w:rsidRPr="00062CE7">
        <w:rPr>
          <w:rFonts w:ascii="Arial" w:eastAsia="Calibri" w:hAnsi="Arial" w:cs="Arial"/>
          <w:sz w:val="20"/>
          <w:szCs w:val="20"/>
          <w:lang w:eastAsia="en-US"/>
        </w:rPr>
        <w:t>Typ, model oferowanego przedmiotu zamówienia</w:t>
      </w:r>
    </w:p>
    <w:p w:rsidR="00D2417C" w:rsidRPr="00BE03AE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066"/>
        <w:gridCol w:w="2977"/>
      </w:tblGrid>
      <w:tr w:rsidR="00D2417C" w:rsidRPr="00BE03AE" w:rsidTr="00EE5F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Parametry, funkcjonalności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Oferowane parametry, funkcjonalności</w:t>
            </w: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Monitor zewnętrzny o przekątnej ekranu minimum 23</w:t>
            </w:r>
            <w:r>
              <w:t>,8</w:t>
            </w:r>
            <w:r w:rsidRPr="0022521A">
              <w:t>’’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Wyświetlana rozdzielczość minimum 1920 x 1080 pikseli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Liczba wyświetlanych kolorów: powyżej 16 milionów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>
              <w:t>M</w:t>
            </w:r>
            <w:r w:rsidRPr="0022521A">
              <w:t>atryca IPS – matowa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Czas reakcji matrycy: maksymalnie 5 ms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  <w:shd w:val="clear" w:color="auto" w:fill="auto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Wbudowane głośniki</w:t>
            </w:r>
            <w:r>
              <w:t xml:space="preserve"> stereo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  <w:shd w:val="clear" w:color="auto" w:fill="auto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7A4BB1">
              <w:t xml:space="preserve">Kąt widzenia w pionie / w poziomie  </w:t>
            </w:r>
            <w:r>
              <w:t xml:space="preserve">nie mniejszy niż </w:t>
            </w:r>
            <w:r w:rsidRPr="007A4BB1">
              <w:t>178 stopni / 178 stopni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Obudowa umożliwiająca pochylanie wyświetlacza oraz umożliwiająca instalację na uchwycie typu VESA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>
              <w:t xml:space="preserve">Obsługa co najmniej złącz: </w:t>
            </w:r>
            <w:proofErr w:type="spellStart"/>
            <w:r w:rsidRPr="007A4BB1">
              <w:t>DisplayPort</w:t>
            </w:r>
            <w:proofErr w:type="spellEnd"/>
            <w:r w:rsidRPr="007A4BB1">
              <w:t xml:space="preserve"> x 1, HDMI x 1, VGA x 1, wyjście liniowe audio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Złącza sygnałowe zapewniające podłączenia</w:t>
            </w:r>
            <w:r>
              <w:t xml:space="preserve"> dwóch monitorów do jednego komputera stacjonarnego </w:t>
            </w:r>
            <w:r w:rsidRPr="0022521A">
              <w:t xml:space="preserve"> dostarczanych w niniejszym zamówieniu. Należy dostarczyć właściwe przewody sygnałowe</w:t>
            </w:r>
            <w:r>
              <w:t>.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Zasilacz wbudowany</w:t>
            </w:r>
          </w:p>
          <w:p w:rsidR="00D2417C" w:rsidRPr="0022521A" w:rsidRDefault="00D2417C" w:rsidP="00EE5F03">
            <w:r w:rsidRPr="0022521A">
              <w:t xml:space="preserve">Napięcie zasilania 240 V </w:t>
            </w:r>
          </w:p>
          <w:p w:rsidR="00D2417C" w:rsidRPr="0022521A" w:rsidRDefault="00D2417C" w:rsidP="00EE5F03">
            <w:r w:rsidRPr="0022521A">
              <w:t>Zużycie energii nie większe niż 0,5W - w stanie czuwania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 xml:space="preserve">Zgodność z normami co najmniej CE, TCO 6.0, </w:t>
            </w:r>
            <w:proofErr w:type="spellStart"/>
            <w:r w:rsidRPr="0022521A">
              <w:t>EnergyStar</w:t>
            </w:r>
            <w:proofErr w:type="spellEnd"/>
            <w:r w:rsidRPr="0022521A">
              <w:t xml:space="preserve"> 6.0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5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rPr>
                <w:bCs/>
              </w:rPr>
              <w:t>Gwarancja minimum 24 miesiące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17C" w:rsidRPr="00BE03AE" w:rsidRDefault="00D2417C" w:rsidP="00D2417C">
      <w:pPr>
        <w:rPr>
          <w:rFonts w:ascii="Arial" w:hAnsi="Arial" w:cs="Arial"/>
          <w:sz w:val="22"/>
          <w:szCs w:val="22"/>
        </w:rPr>
      </w:pPr>
    </w:p>
    <w:p w:rsidR="00D2417C" w:rsidRPr="00BE03AE" w:rsidRDefault="00D2417C" w:rsidP="00D2417C">
      <w:pPr>
        <w:rPr>
          <w:rFonts w:ascii="Arial" w:hAnsi="Arial" w:cs="Arial"/>
          <w:sz w:val="22"/>
          <w:szCs w:val="22"/>
        </w:rPr>
      </w:pPr>
    </w:p>
    <w:p w:rsidR="00D2417C" w:rsidRPr="000B523B" w:rsidRDefault="00D2417C" w:rsidP="00D2417C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0B523B">
        <w:rPr>
          <w:rFonts w:ascii="Arial" w:hAnsi="Arial" w:cs="Arial"/>
          <w:b/>
          <w:sz w:val="22"/>
          <w:szCs w:val="22"/>
        </w:rPr>
        <w:t xml:space="preserve">Zadanie 2 </w:t>
      </w:r>
      <w:r>
        <w:rPr>
          <w:rFonts w:ascii="Arial" w:hAnsi="Arial" w:cs="Arial"/>
          <w:b/>
          <w:sz w:val="22"/>
          <w:szCs w:val="22"/>
        </w:rPr>
        <w:t>–</w:t>
      </w:r>
      <w:r w:rsidRPr="000B523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Dostawa oprogramowania biurowego</w:t>
      </w:r>
    </w:p>
    <w:p w:rsidR="00D2417C" w:rsidRPr="000B523B" w:rsidRDefault="00D2417C" w:rsidP="00D2417C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Oprogramowanie biurowe – 20</w:t>
      </w:r>
      <w:r w:rsidRPr="000B523B">
        <w:rPr>
          <w:rFonts w:ascii="Arial" w:eastAsia="Calibri" w:hAnsi="Arial" w:cs="Arial"/>
          <w:sz w:val="22"/>
          <w:szCs w:val="22"/>
          <w:lang w:eastAsia="en-US"/>
        </w:rPr>
        <w:t xml:space="preserve"> szt.</w:t>
      </w:r>
      <w:r w:rsidRPr="00062CE7">
        <w:t xml:space="preserve"> </w:t>
      </w:r>
      <w:r w:rsidRPr="000B523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………………………………………….…………………..…</w:t>
      </w:r>
    </w:p>
    <w:p w:rsidR="00D2417C" w:rsidRPr="00062CE7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062CE7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</w:t>
      </w:r>
      <w:r w:rsidRPr="00062CE7">
        <w:rPr>
          <w:rFonts w:ascii="Arial" w:eastAsia="Calibri" w:hAnsi="Arial" w:cs="Arial"/>
          <w:sz w:val="22"/>
          <w:szCs w:val="22"/>
          <w:lang w:eastAsia="en-US"/>
        </w:rPr>
        <w:t>Typ, model oferowanego przedmiotu zamówienia</w:t>
      </w:r>
    </w:p>
    <w:p w:rsidR="00D2417C" w:rsidRPr="00BE03AE" w:rsidRDefault="00D2417C" w:rsidP="00D2417C">
      <w:pPr>
        <w:spacing w:after="160" w:line="259" w:lineRule="auto"/>
        <w:ind w:left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6066"/>
        <w:gridCol w:w="2977"/>
      </w:tblGrid>
      <w:tr w:rsidR="00D2417C" w:rsidRPr="00BE03AE" w:rsidTr="00EE5F0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Parametry, funkcjonalności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7C" w:rsidRPr="00062CE7" w:rsidRDefault="00D2417C" w:rsidP="00EE5F03">
            <w:pPr>
              <w:ind w:left="-108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2CE7">
              <w:rPr>
                <w:rFonts w:ascii="Arial" w:hAnsi="Arial" w:cs="Arial"/>
                <w:b/>
                <w:sz w:val="22"/>
                <w:szCs w:val="22"/>
              </w:rPr>
              <w:t>Oferowane parametry, funkcjonalności</w:t>
            </w: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pPr>
              <w:rPr>
                <w:b/>
              </w:rPr>
            </w:pPr>
            <w:r w:rsidRPr="0022521A">
              <w:t>Wszystkie moduły oraz pełny system pomocy użytkownika w polskiej wersji językowej.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 xml:space="preserve">Licencja bezterminowa dla instytucji akademickiej (np. </w:t>
            </w:r>
            <w:proofErr w:type="spellStart"/>
            <w:r w:rsidRPr="0022521A">
              <w:t>Academic</w:t>
            </w:r>
            <w:proofErr w:type="spellEnd"/>
            <w:r w:rsidRPr="0022521A">
              <w:t xml:space="preserve"> Open), możliwość przenoszenia miedzy komputerami, możliwość instalacji na wszystkich komputerach z wykorzystaniem jednego klucza licencyjnego, możliwość instalacji w systemach 32 i 64 bitowych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  <w:r w:rsidRPr="00BE03AE">
              <w:rPr>
                <w:rFonts w:ascii="Arial" w:hAnsi="Arial" w:cs="Arial"/>
                <w:sz w:val="22"/>
                <w:szCs w:val="22"/>
              </w:rPr>
              <w:t>\</w:t>
            </w:r>
          </w:p>
        </w:tc>
        <w:tc>
          <w:tcPr>
            <w:tcW w:w="6066" w:type="dxa"/>
            <w:shd w:val="clear" w:color="auto" w:fill="auto"/>
          </w:tcPr>
          <w:p w:rsidR="00D2417C" w:rsidRPr="0022521A" w:rsidRDefault="00D2417C" w:rsidP="00EE5F03">
            <w:r w:rsidRPr="0022521A">
              <w:rPr>
                <w:bCs/>
                <w:iCs/>
              </w:rPr>
              <w:t>Obsługa podpisu elektronicznego</w:t>
            </w:r>
            <w:r w:rsidRPr="0022521A">
              <w:t xml:space="preserve"> zgodnie z Rozporządzeniem Rady Ministrów w 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  <w:shd w:val="clear" w:color="auto" w:fill="auto"/>
          </w:tcPr>
          <w:p w:rsidR="00D2417C" w:rsidRPr="0022521A" w:rsidRDefault="00D2417C" w:rsidP="00EE5F03">
            <w:r w:rsidRPr="0022521A">
              <w:t>Obsługa schematu XML zgodnie z Rozporządzeniem Rady Ministrów w sprawie Krajowych Ram Interoperacyjności, minimalnych wymagań dla rejestrów publicznych i wymiany informacji w postaci elektronicznej oraz minimalnych wymagań dla systemów teleinformatycznych (Dz.U. 2012 poz. 526)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Możliwość dostosowywania i dystrybuowania szablonów zgodnie z wymaganiami instytucji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>Wbudowana obsługa języka makropoleceń, język skryptowy umożliwiający automatyzację pracy i wymianę danych miedzy dokumentami i aplikacjami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t xml:space="preserve">Możliwość wstawiania do każdej aplikacji wchodzącej w skład pakietu, plików graficznych dostępnych w najpopularniejszych formatach oraz grafiki typu </w:t>
            </w:r>
            <w:proofErr w:type="spellStart"/>
            <w:r w:rsidRPr="0022521A">
              <w:t>ClipArt</w:t>
            </w:r>
            <w:proofErr w:type="spellEnd"/>
            <w:r w:rsidRPr="0022521A">
              <w:t xml:space="preserve"> z wbudowanej bazy, z możliwością pobierania nowych ze strony producenta pakietu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rPr>
                <w:bCs/>
                <w:iCs/>
              </w:rPr>
              <w:t>Aplikacje wchodzące w skład pakietu:</w:t>
            </w:r>
          </w:p>
          <w:p w:rsidR="00D2417C" w:rsidRPr="0022521A" w:rsidRDefault="00D2417C" w:rsidP="00EE5F03">
            <w:r w:rsidRPr="0022521A">
              <w:t>- Edytor tekstu</w:t>
            </w:r>
          </w:p>
          <w:p w:rsidR="00D2417C" w:rsidRPr="0022521A" w:rsidRDefault="00D2417C" w:rsidP="00EE5F03">
            <w:r w:rsidRPr="0022521A">
              <w:t>- Arkusz kalkulacyjny</w:t>
            </w:r>
          </w:p>
          <w:p w:rsidR="00D2417C" w:rsidRPr="0022521A" w:rsidRDefault="00D2417C" w:rsidP="00EE5F03">
            <w:r w:rsidRPr="0022521A">
              <w:t>- Narzędzie do przygotowywania i prowadzenia prezentacji</w:t>
            </w:r>
          </w:p>
          <w:p w:rsidR="00D2417C" w:rsidRPr="0022521A" w:rsidRDefault="00D2417C" w:rsidP="00EE5F03">
            <w:r w:rsidRPr="0022521A">
              <w:t>- Narzędzie do tworzenia i pracy z lokalną bazą danych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pPr>
              <w:ind w:left="85" w:hanging="85"/>
            </w:pPr>
            <w:r w:rsidRPr="0022521A">
              <w:rPr>
                <w:bCs/>
                <w:iCs/>
              </w:rPr>
              <w:t>Funkcjonalności edytora tekstu: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Edycja, formatowanie, sprawdzanie pisowni i poprawności gramatycznej tekstu w wielu językach w ramach jednego dokumentu,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Funkcjonalność słownika wyrazów bliskoznacznych i autokorekty co najmniej dla języka polskiego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 xml:space="preserve">- Wstawianie, formatowanie i podpisywanie tabel 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Wstawianie, formatowanie i podpisywanie obiektów graficznych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Wstawianie wykresów i tabel z arkusza kalkulacyjnego (łącznie z tabelami przestawnymi)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Automatyczne numerowanie rozdziałów, punktów, akapitów, tabel i rysunków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Automatyczne tworzenie spisów treści, tabel i rysunków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Formatowanie nagłówków i stopek stron łącznie i rozdzielnie dla różnych sekcji dokumentu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Formatowanie układu strony oraz rozmieszczenia pól numeracji stron z uwzględnieniem wymogów druku dwustronnego (marginesy wewnętrzne, zewnętrzne, oprawa)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Możliwość definiowania zestawów styli do szybkiego formatowania tekstu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wbudowana funkcjonalność podstawowej edycji elementów graficznych (powiększanie, zmniejszanie, kompresja, przezroczystość)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Śledzenie zmian wprowadzonych przez użytkowników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Nagrywanie, tworzenie i edycję makr automatyzujących wykonywanie czynności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lastRenderedPageBreak/>
              <w:t>- Określenie układu strony (pionowa/pozioma) łącznie i rozdzielnie dla różnych sekcji dokumentu,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Wydruk dokumentów jedno i dwustronnych oraz w układzie zeszytowym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Wykonywanie korespondencji seryjnej bazując na danych adresowych pochodzących z arkusza kalkulacyjnego, książki adresowej klienta poczty elektronicznej oraz zewnętrznych baz danych SQL z obsługą dostępu do danych ODBC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Praca na dokumentach utworzonych przy pomocy Microsoft Word w wersjach 2003, 2007, 2010, 2013, 2016, z zapewnieniem bezproblemowej konwersji wszystkich elementów i atrybutów dokumentu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Możliwość wstawiania i edycji równań matematycznych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Zabezpieczanie dokumentów hasłem przed odczytem oraz przed wprowadzaniem modyfikacji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pPr>
              <w:ind w:left="85" w:hanging="85"/>
            </w:pPr>
            <w:r w:rsidRPr="0022521A">
              <w:rPr>
                <w:bCs/>
                <w:iCs/>
              </w:rPr>
              <w:t>Funkcjonalności arkusza kalkulacyjnego: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raportów tabelarycznych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wykresów liniowych (wraz linią trendu), słupkowych, kołowych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arkuszy kalkulacyjnych zawierających teksty, dane liczbowe oraz formuły przeprowadzające operacje matematyczne, logiczne, tekstowe, statystyczne oraz operacje na danych finansowych i na miarach czasu.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raportów z zewnętrznych źródeł danych (inne arkusze kalkulacyjne, bazy danych zgodne z ODBC, pliki tekstowe, pliki XML)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 xml:space="preserve">- Wykonywanie analiz wielowymiarowych OLAP oraz tworzenie i edycję kwerend bazodanowych 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Narzędzia wspomagające analizę statystyczną i finansową, testy statystyczne, analizę wariantową i rozwiązywanie problemów optymalizacyjnych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 xml:space="preserve">- Wbudowane narzędzie analityczne typu </w:t>
            </w:r>
            <w:proofErr w:type="spellStart"/>
            <w:r w:rsidRPr="0022521A">
              <w:t>solver</w:t>
            </w:r>
            <w:proofErr w:type="spellEnd"/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raportów tabeli przestawnych umożliwiających dynamiczną zmianę wymiarów oraz wykresów bazujących na danych z tabeli przestawnych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Wyszukiwanie i zamianę danych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Wykonywanie analiz danych przy użyciu formatowania warunkowego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Nazywanie komórek arkusza i odwoływanie się w formułach po takiej nazwie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Nagrywanie, tworzenie i edycję makr automatyzujących wykonywanie czynności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Formatowanie czasu, daty i wartości finansowych z polskim formatem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Zapis wielu arkuszy kalkulacyjnych w jednym pliku.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 xml:space="preserve">- Zachowanie pełnej zgodności z formatami plików utworzonych za pomocą oprogramowania Microsoft Excel w wersjach 2003, 2007, 2010, 2013, 2016, z </w:t>
            </w:r>
            <w:r w:rsidRPr="0022521A">
              <w:lastRenderedPageBreak/>
              <w:t>uwzględnieniem poprawnej realizacji użytych w nich funkcji specjalnych i makropoleceń.</w:t>
            </w:r>
          </w:p>
          <w:p w:rsidR="00D2417C" w:rsidRPr="0022521A" w:rsidRDefault="00D2417C" w:rsidP="00EE5F03">
            <w:pPr>
              <w:ind w:left="85" w:hanging="85"/>
              <w:rPr>
                <w:highlight w:val="yellow"/>
              </w:rPr>
            </w:pPr>
            <w:r w:rsidRPr="0022521A">
              <w:t>- Zabezpieczenie dokumentów hasłem przed odczytem oraz przed wprowadzaniem modyfikacji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pPr>
              <w:ind w:left="85" w:hanging="85"/>
            </w:pPr>
            <w:r w:rsidRPr="0022521A">
              <w:rPr>
                <w:bCs/>
                <w:iCs/>
              </w:rPr>
              <w:t>Funkcjonalności narzędzia do tworzenia i edycji prezentacji: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Przygotowywanie prezentacji multimedialnych z wykorzystaniem elementów graficznych, tekstów, animacji, filmów i nagrań dźwiękowych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Przygotowywanie prezentacji na podstawie szablonów zawartych w narzędziu z możliwością pobierania nowych szablonów ze strony producenta oprogramowania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Nadawanie efektów animacyjnych dla wszystkich slajdów, pojedynczych i grup elementów slajdów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Nagrywanie narracji i dołączanie jej do prezentacji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Dodawanie opisów slajdów z notatkami dla prezentera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Prowadzenie prezentacji w trybie prezentera, gdzie slajdy są widoczne na jednym monitorze lub projektorze, a na drugim widoczne są slajdy i notatki prezentera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Umieszczanie tabel i wykresów pochodzących z innych aplikacji pakietu biurowego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Automatyczna aktualizacja wykresu znajdującego się w prezentacji po zmianie danych w źródłowym arkuszu kalkulacyjnym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Możliwość animacji fragmentów wstawianych wykresów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Drukowanie w formacie umożliwiającym robienie notatek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Zapisanie jako prezentacja tylko do odczytu z możliwością przygotowania zestawu plików umożliwiających wyświetlenie prezentacji na komputerze nie posiadającym oprogramowania do wyświetlania prezentacji</w:t>
            </w:r>
          </w:p>
          <w:p w:rsidR="00D2417C" w:rsidRPr="0022521A" w:rsidRDefault="00D2417C" w:rsidP="00EE5F03">
            <w:pPr>
              <w:ind w:left="85" w:hanging="85"/>
              <w:rPr>
                <w:highlight w:val="yellow"/>
              </w:rPr>
            </w:pPr>
            <w:r w:rsidRPr="0022521A">
              <w:t>- Pełna zgodność z formatami plików utworzonych za pomocą oprogramowania MS PowerPoint w wersjach 2003, 2007, 2010, 2013, 2016.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r w:rsidRPr="0022521A">
              <w:rPr>
                <w:bCs/>
                <w:iCs/>
              </w:rPr>
              <w:t>Funkcjonalności narzędzia do tworzenia i pracy z lokalną bazą danych: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baz danych przechowywanych w 1 pliku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następujących obiektów baz danych: tabele z definiowaniem typów danych (tekstowych, liczbowych, walutowych daty i czasu), kluczy głównych, kluczy obcych wiążących dane z innych tabel relacjami, kwerend/widoków tabel wirtualnych będących złożeniem danych z kilku tabel, raportów tabelarycznych i z podziałem na sekcje, formularzy wspomagających wprowadzanie i zarządzanie danymi, makr i programowania zdarzeń w języku obsługiwanym przez pakiet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Tworzenie formularzy i raportów w powiązaniu z zewnętrznymi bazami zgodnymi z ODBC, plikami XML, arkuszami kalkulacyjnymi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lastRenderedPageBreak/>
              <w:t>- Tworzenie aplikacji do zarządzania danymi przechowywanymi w zewnętrznych bazach danych SQL za pomocą sterownika ODBC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Możliwość programowania reakcji na zdarzenia dla elementów formularzy za pomocą wbudowanych narzędzi programistycznych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Możliwość personalizacji, ograniczania liczby dostępnych kontrolek i narządzi w aplikacjach udostępnianych użytkownikom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Zachowanie pełnej zgodności z formatami plików utworzonych za pomocą oprogramowania Microsoft Access w wersjach 2003, 2007, 2010, 2013, 2016, z uwzględnieniem poprawnej realizacji użytych w nich funkcji specjalnych i makropoleceń.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417C" w:rsidRPr="00BE03AE" w:rsidTr="00EE5F03">
        <w:tc>
          <w:tcPr>
            <w:tcW w:w="421" w:type="dxa"/>
          </w:tcPr>
          <w:p w:rsidR="00D2417C" w:rsidRPr="00BE03AE" w:rsidRDefault="00D2417C" w:rsidP="00D2417C">
            <w:pPr>
              <w:numPr>
                <w:ilvl w:val="0"/>
                <w:numId w:val="6"/>
              </w:numPr>
              <w:ind w:left="30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6" w:type="dxa"/>
          </w:tcPr>
          <w:p w:rsidR="00D2417C" w:rsidRPr="0022521A" w:rsidRDefault="00D2417C" w:rsidP="00EE5F03">
            <w:pPr>
              <w:ind w:left="85" w:hanging="85"/>
            </w:pPr>
            <w:r w:rsidRPr="0022521A">
              <w:rPr>
                <w:bCs/>
                <w:iCs/>
              </w:rPr>
              <w:t>Program instalacyjny: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Należy dostarczyć nośniki lub wskazać sposób pobierania oprogramowania instalacyjnego ze strony producenta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>- Wszystkie wymienione wyżej funkcjonalności muszą być dostępne w ramach jednego programu instalacyjnego</w:t>
            </w:r>
          </w:p>
          <w:p w:rsidR="00D2417C" w:rsidRPr="0022521A" w:rsidRDefault="00D2417C" w:rsidP="00EE5F03">
            <w:pPr>
              <w:ind w:left="85" w:hanging="85"/>
            </w:pPr>
            <w:r w:rsidRPr="0022521A">
              <w:t xml:space="preserve">- Program instalacyjny pakietu musi umożliwiać dystrybucje pakietu na stacje robocze za pomocą narzędzi wbudowanych w kontroler </w:t>
            </w:r>
            <w:proofErr w:type="spellStart"/>
            <w:r w:rsidRPr="0022521A">
              <w:t>ActiveDirectory</w:t>
            </w:r>
            <w:proofErr w:type="spellEnd"/>
            <w:r w:rsidRPr="0022521A">
              <w:t>.</w:t>
            </w:r>
          </w:p>
        </w:tc>
        <w:tc>
          <w:tcPr>
            <w:tcW w:w="2977" w:type="dxa"/>
          </w:tcPr>
          <w:p w:rsidR="00D2417C" w:rsidRPr="00BE03AE" w:rsidRDefault="00D2417C" w:rsidP="00EE5F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417C" w:rsidRPr="00BE03AE" w:rsidRDefault="00D2417C" w:rsidP="00D2417C">
      <w:pPr>
        <w:rPr>
          <w:rFonts w:ascii="Arial" w:hAnsi="Arial" w:cs="Arial"/>
          <w:sz w:val="22"/>
          <w:szCs w:val="22"/>
        </w:rPr>
      </w:pPr>
    </w:p>
    <w:p w:rsidR="00D2417C" w:rsidRPr="00501143" w:rsidRDefault="00D2417C" w:rsidP="00D2417C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D2417C" w:rsidRPr="00501143" w:rsidRDefault="00D2417C" w:rsidP="00D2417C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:rsidR="00D2417C" w:rsidRPr="00501143" w:rsidRDefault="00D2417C" w:rsidP="00D2417C">
      <w:pPr>
        <w:pStyle w:val="Tekstpodstawowy2"/>
        <w:spacing w:after="0" w:line="240" w:lineRule="auto"/>
        <w:rPr>
          <w:rFonts w:ascii="Arial" w:hAnsi="Arial" w:cs="Arial"/>
          <w:sz w:val="20"/>
        </w:rPr>
      </w:pPr>
      <w:r w:rsidRPr="00501143">
        <w:rPr>
          <w:rFonts w:ascii="Arial" w:hAnsi="Arial" w:cs="Arial"/>
          <w:sz w:val="20"/>
        </w:rPr>
        <w:t xml:space="preserve">…………………… , dnia ……………………    </w:t>
      </w:r>
    </w:p>
    <w:p w:rsidR="00D2417C" w:rsidRPr="00501143" w:rsidRDefault="00D2417C" w:rsidP="00D2417C">
      <w:pPr>
        <w:pStyle w:val="Tekstpodstawowy2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01143">
        <w:rPr>
          <w:rFonts w:ascii="Arial" w:hAnsi="Arial" w:cs="Arial"/>
          <w:sz w:val="20"/>
        </w:rPr>
        <w:t xml:space="preserve">      </w:t>
      </w:r>
      <w:r w:rsidRPr="00501143">
        <w:rPr>
          <w:rFonts w:ascii="Arial" w:hAnsi="Arial" w:cs="Arial"/>
          <w:sz w:val="20"/>
          <w:szCs w:val="20"/>
        </w:rPr>
        <w:t>………………….………………….………………………</w:t>
      </w:r>
    </w:p>
    <w:p w:rsidR="00D2417C" w:rsidRPr="00501143" w:rsidRDefault="00D2417C" w:rsidP="00D2417C">
      <w:pPr>
        <w:pStyle w:val="Tekstpodstawowy2"/>
        <w:spacing w:after="0" w:line="240" w:lineRule="auto"/>
        <w:ind w:left="4248"/>
        <w:rPr>
          <w:sz w:val="16"/>
          <w:szCs w:val="16"/>
        </w:rPr>
      </w:pPr>
      <w:r w:rsidRPr="00501143">
        <w:rPr>
          <w:sz w:val="16"/>
          <w:szCs w:val="16"/>
        </w:rPr>
        <w:t>Podpis(-y) osoby (osób) wykazanej(-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  w dokumencie uprawniającym do występowania w obrocie prawnym lub posiadającej(-</w:t>
      </w:r>
      <w:proofErr w:type="spellStart"/>
      <w:r w:rsidRPr="00501143">
        <w:rPr>
          <w:sz w:val="16"/>
          <w:szCs w:val="16"/>
        </w:rPr>
        <w:t>ych</w:t>
      </w:r>
      <w:proofErr w:type="spellEnd"/>
      <w:r w:rsidRPr="00501143">
        <w:rPr>
          <w:sz w:val="16"/>
          <w:szCs w:val="16"/>
        </w:rPr>
        <w:t>)pełnomocnictwo(-a).</w:t>
      </w:r>
    </w:p>
    <w:p w:rsidR="00D2417C" w:rsidRPr="00501143" w:rsidRDefault="00D2417C" w:rsidP="00D2417C">
      <w:pPr>
        <w:pStyle w:val="Tekstpodstawowy2"/>
        <w:spacing w:after="0" w:line="240" w:lineRule="auto"/>
        <w:ind w:left="4248"/>
        <w:rPr>
          <w:sz w:val="16"/>
          <w:szCs w:val="16"/>
        </w:rPr>
      </w:pPr>
      <w:r w:rsidRPr="00501143">
        <w:rPr>
          <w:sz w:val="16"/>
          <w:szCs w:val="16"/>
        </w:rPr>
        <w:t>(Zalecany czytelny podpis(-y) lub podpis(-y) i pieczątka(-i) z imieniem i nazwiskiem)</w:t>
      </w:r>
    </w:p>
    <w:p w:rsidR="00896AF1" w:rsidRDefault="00896AF1" w:rsidP="00D2417C">
      <w:bookmarkStart w:id="0" w:name="_GoBack"/>
      <w:bookmarkEnd w:id="0"/>
    </w:p>
    <w:sectPr w:rsidR="00896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209088S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B0D89"/>
    <w:multiLevelType w:val="hybridMultilevel"/>
    <w:tmpl w:val="7994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512C37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379D7"/>
    <w:multiLevelType w:val="hybridMultilevel"/>
    <w:tmpl w:val="79948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F5337F"/>
    <w:multiLevelType w:val="hybridMultilevel"/>
    <w:tmpl w:val="B0568852"/>
    <w:lvl w:ilvl="0" w:tplc="8C60E01E">
      <w:start w:val="1"/>
      <w:numFmt w:val="decimal"/>
      <w:lvlText w:val="1.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8B419B"/>
    <w:multiLevelType w:val="hybridMultilevel"/>
    <w:tmpl w:val="7C0A10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C3A60"/>
    <w:multiLevelType w:val="hybridMultilevel"/>
    <w:tmpl w:val="A3CC3C1A"/>
    <w:lvl w:ilvl="0" w:tplc="6C08D8AA">
      <w:start w:val="1"/>
      <w:numFmt w:val="decimal"/>
      <w:lvlText w:val="2. 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74"/>
    <w:rsid w:val="00896AF1"/>
    <w:rsid w:val="00CE7574"/>
    <w:rsid w:val="00D2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DEA46-8671-4192-8F47-37B80CE0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241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D2417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Hipercze">
    <w:name w:val="Hyperlink"/>
    <w:uiPriority w:val="99"/>
    <w:rsid w:val="00D2417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D241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241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wlewo">
    <w:name w:val="Standardowy w lewo"/>
    <w:basedOn w:val="Normalny"/>
    <w:rsid w:val="00D2417C"/>
    <w:pPr>
      <w:jc w:val="both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-energysta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ergystar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deocardbenchmark.net/gpu_list.php" TargetMode="External"/><Relationship Id="rId5" Type="http://schemas.openxmlformats.org/officeDocument/2006/relationships/hyperlink" Target="http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2432</Words>
  <Characters>16131</Characters>
  <Application>Microsoft Office Word</Application>
  <DocSecurity>0</DocSecurity>
  <Lines>504</Lines>
  <Paragraphs>261</Paragraphs>
  <ScaleCrop>false</ScaleCrop>
  <Company/>
  <LinksUpToDate>false</LinksUpToDate>
  <CharactersWithSpaces>18302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2</cp:revision>
  <dcterms:created xsi:type="dcterms:W3CDTF">2020-10-21T06:40:00Z</dcterms:created>
  <dcterms:modified xsi:type="dcterms:W3CDTF">2020-10-21T06:41:00Z</dcterms:modified>
</cp:coreProperties>
</file>