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Pr="006A66BA" w:rsidRDefault="00A41247" w:rsidP="001D5CC5">
      <w:pPr>
        <w:suppressAutoHyphens w:val="0"/>
        <w:autoSpaceDN/>
        <w:spacing w:after="0" w:line="240" w:lineRule="auto"/>
        <w:jc w:val="right"/>
        <w:textAlignment w:val="auto"/>
        <w:rPr>
          <w:rFonts w:ascii="Arial" w:hAnsi="Arial" w:cs="Arial"/>
          <w:bCs/>
          <w:i/>
          <w:noProof/>
        </w:rPr>
      </w:pPr>
      <w:r>
        <w:rPr>
          <w:rFonts w:ascii="Arial" w:hAnsi="Arial" w:cs="Arial"/>
          <w:bCs/>
          <w:i/>
        </w:rPr>
        <w:t>Załącznik nr 6</w:t>
      </w:r>
      <w:r w:rsidRPr="006A66BA">
        <w:rPr>
          <w:rFonts w:ascii="Arial" w:hAnsi="Arial" w:cs="Arial"/>
          <w:bCs/>
          <w:i/>
        </w:rPr>
        <w:t xml:space="preserve"> do SIWZ</w:t>
      </w:r>
    </w:p>
    <w:p w:rsidR="00A41247" w:rsidRDefault="00A41247" w:rsidP="00A41247">
      <w:pPr>
        <w:tabs>
          <w:tab w:val="left" w:pos="561"/>
        </w:tabs>
        <w:spacing w:line="400" w:lineRule="atLeast"/>
        <w:rPr>
          <w:noProof/>
        </w:rPr>
      </w:pPr>
    </w:p>
    <w:p w:rsidR="00A41247" w:rsidRDefault="00A41247" w:rsidP="00A41247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</w:rPr>
        <w:t>(pieczęć Wykonawcy)</w:t>
      </w:r>
      <w:r>
        <w:rPr>
          <w:noProof/>
        </w:rPr>
        <w:tab/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A41247" w:rsidRPr="00C166A9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A41247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  <w:sz w:val="28"/>
          <w:szCs w:val="28"/>
        </w:rPr>
      </w:pPr>
    </w:p>
    <w:p w:rsidR="00A41247" w:rsidRPr="00E948A2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A41247" w:rsidRPr="00E948A2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A41247" w:rsidRPr="00E948A2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 w:rsidRPr="00E948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………………………….</w:t>
      </w:r>
      <w:r w:rsidRPr="00E948A2">
        <w:rPr>
          <w:rFonts w:ascii="Arial" w:hAnsi="Arial" w:cs="Arial"/>
        </w:rPr>
        <w:t>…………….…….………………..…………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Pr="00E948A2">
        <w:rPr>
          <w:rFonts w:ascii="Arial" w:hAnsi="Arial" w:cs="Arial"/>
        </w:rPr>
        <w:t>………….…..……</w:t>
      </w:r>
      <w:r>
        <w:rPr>
          <w:rFonts w:ascii="Arial" w:hAnsi="Arial" w:cs="Arial"/>
        </w:rPr>
        <w:t>……………………</w:t>
      </w:r>
      <w:r w:rsidRPr="00E948A2">
        <w:rPr>
          <w:rFonts w:ascii="Arial" w:hAnsi="Arial" w:cs="Arial"/>
        </w:rPr>
        <w:t>……………………………………….…………….</w:t>
      </w:r>
    </w:p>
    <w:p w:rsidR="00A41247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rPr>
          <w:b w:val="0"/>
          <w:bCs w:val="0"/>
          <w:i w:val="0"/>
          <w:iCs w:val="0"/>
          <w:sz w:val="24"/>
          <w:szCs w:val="24"/>
        </w:rPr>
      </w:pPr>
    </w:p>
    <w:p w:rsidR="00A41247" w:rsidRDefault="001D5CC5" w:rsidP="00A41247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„Dostawa </w:t>
      </w:r>
      <w:r w:rsidRPr="001D5CC5">
        <w:rPr>
          <w:rFonts w:ascii="Arial" w:eastAsia="Times New Roman" w:hAnsi="Arial" w:cs="Arial"/>
          <w:b/>
          <w:lang w:eastAsia="pl-PL"/>
        </w:rPr>
        <w:t>zestawu komputerowego składającego się z komputera do obróbki filmów 4K/6K i dwóch monitorów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1D5CC5" w:rsidRPr="00CB30C3" w:rsidRDefault="001D5CC5" w:rsidP="001D5CC5">
      <w:pPr>
        <w:pStyle w:val="Akapitzlist"/>
        <w:numPr>
          <w:ilvl w:val="0"/>
          <w:numId w:val="73"/>
        </w:num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FB523C">
        <w:rPr>
          <w:rFonts w:ascii="Arial" w:hAnsi="Arial" w:cs="Arial"/>
          <w:b/>
        </w:rPr>
        <w:t xml:space="preserve">Komputer stacjonarny  – 1 </w:t>
      </w:r>
      <w:proofErr w:type="spellStart"/>
      <w:r w:rsidRPr="00FB523C">
        <w:rPr>
          <w:rFonts w:ascii="Arial" w:hAnsi="Arial" w:cs="Arial"/>
          <w:b/>
        </w:rPr>
        <w:t>szt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 w:rsidRPr="00CB30C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CB30C3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…………..…</w:t>
      </w:r>
    </w:p>
    <w:p w:rsidR="001D5CC5" w:rsidRDefault="001D5CC5" w:rsidP="0010509A">
      <w:pPr>
        <w:pStyle w:val="Akapitzlis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</w:t>
      </w:r>
      <w:r w:rsidR="0010509A">
        <w:rPr>
          <w:rFonts w:ascii="Arial" w:hAnsi="Arial" w:cs="Arial"/>
          <w:b/>
          <w:i/>
          <w:sz w:val="18"/>
          <w:szCs w:val="18"/>
        </w:rPr>
        <w:t xml:space="preserve">              </w:t>
      </w:r>
      <w:r w:rsidRPr="0010509A">
        <w:rPr>
          <w:rFonts w:ascii="Arial" w:hAnsi="Arial" w:cs="Arial"/>
          <w:sz w:val="20"/>
          <w:szCs w:val="20"/>
        </w:rPr>
        <w:t>typ, model oferowanego przedmiotu zamówienia</w:t>
      </w:r>
    </w:p>
    <w:p w:rsidR="0010509A" w:rsidRPr="00032690" w:rsidRDefault="0010509A" w:rsidP="0010509A">
      <w:pPr>
        <w:pStyle w:val="Akapitzlist"/>
        <w:spacing w:line="259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58"/>
        <w:gridCol w:w="3827"/>
      </w:tblGrid>
      <w:tr w:rsidR="001D5CC5" w:rsidRPr="008D19A0" w:rsidTr="001D5CC5">
        <w:trPr>
          <w:trHeight w:val="6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8D19A0" w:rsidRDefault="001D5CC5" w:rsidP="001D5CC5">
            <w:pPr>
              <w:tabs>
                <w:tab w:val="num" w:pos="72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8D19A0" w:rsidRDefault="001D5CC5" w:rsidP="001D5C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Parametry, funkcjonalności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8D19A0" w:rsidRDefault="001D5CC5" w:rsidP="001D5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Oferowany przedmiot zamówienia</w:t>
            </w:r>
          </w:p>
          <w:p w:rsidR="001D5CC5" w:rsidRPr="008D19A0" w:rsidRDefault="001D5CC5" w:rsidP="001D5C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Default="00F85679" w:rsidP="00F856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Komputer stacjonarny w o</w:t>
            </w:r>
            <w:r w:rsidRPr="007711D8">
              <w:rPr>
                <w:rFonts w:ascii="Arial" w:hAnsi="Arial" w:cs="Arial"/>
                <w:bCs/>
                <w:sz w:val="20"/>
                <w:szCs w:val="20"/>
              </w:rPr>
              <w:t xml:space="preserve">budowie typu Full Tower umożliwiającej montaż płyty głównej w standardach: ATX i EATX, karty graficznej pełnej wysokości w slocie PCI express o długości 40 cm. Otwory wentylacyjne mogą znajdować się w przedniej, bocznej i tylnej ścianie obudowy, zamontowane wentylatory zapewnianiające prawidłową cyrkulację powietrza. </w:t>
            </w:r>
            <w:r w:rsidRPr="007711D8">
              <w:rPr>
                <w:rFonts w:ascii="Arial" w:hAnsi="Arial" w:cs="Arial"/>
                <w:sz w:val="20"/>
                <w:szCs w:val="20"/>
              </w:rPr>
              <w:t>Obudowa zapewniająca miejsce na montaż: 6 kart rozszerzeń; 2 dysków 2,5”, 6 dysków 2,5’/3,5’; Możliwość montażu napędu optycznego z przodu obudowy.</w:t>
            </w:r>
          </w:p>
          <w:p w:rsidR="00F85679" w:rsidRPr="007711D8" w:rsidRDefault="00F85679" w:rsidP="00F8567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Default="00F85679" w:rsidP="00F856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Przeznaczenie: Uruchamianie aplikacji do obróbki wideo w rozdzielczości 4K/6K, obróbki zdjęć (np.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DaVinci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Resolve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11D8">
              <w:rPr>
                <w:rFonts w:ascii="Arial" w:hAnsi="Arial" w:cs="Arial"/>
                <w:sz w:val="20"/>
                <w:szCs w:val="20"/>
              </w:rPr>
              <w:lastRenderedPageBreak/>
              <w:t xml:space="preserve">Adobe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Premiere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, OBS Studio, RAW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), tworzenia grafiki 3D w programach do wizualizacji i modelowania 3D (np.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Blender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, Adobe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, 3DMax). dostęp do Internetu i aplikacji WWW, narzędzi programistycznych (np. Visual Studio, Android Studio), bazodanowych (np. MSSQL,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Postgresql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) oraz aplikacji do przetwarzania audio-wideo. Komputer przeznaczony do obróbki wideo w trybie pracy wielordzeniowej i synchronizacji procesów, z dzieleniem zasobów a także specyfiką komunikacji i synchronizacji w przetwarzaniu rozproszonym, z wykorzystaniem wielordzeniowych jednostek centralnych CPU oraz jednostek przetwarzania graficznego GPU z zaimplementowaną obsługa sprzętową technologii CUDA. Uruchamianie jednoczesne kilku systemów operacyjnych z wykorzystaniem oprogramowania do wirtualizacji (np.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VirtualBox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Workstation).</w:t>
            </w:r>
          </w:p>
          <w:p w:rsidR="00F85679" w:rsidRPr="007711D8" w:rsidRDefault="00F85679" w:rsidP="00F856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11D8">
              <w:rPr>
                <w:rFonts w:ascii="Arial" w:hAnsi="Arial" w:cs="Arial"/>
                <w:bCs/>
                <w:sz w:val="20"/>
                <w:szCs w:val="20"/>
              </w:rPr>
              <w:t xml:space="preserve">Procesor przeznaczony do uruchamiania systemów 64 bitowych, zaprojektowany do pracy w komputerach stacjonarnych,  zapewniający wydajność komputera ocenioną na co najmniej </w:t>
            </w:r>
            <w:r w:rsidRPr="00E02223">
              <w:rPr>
                <w:rFonts w:ascii="Arial" w:hAnsi="Arial" w:cs="Arial"/>
                <w:bCs/>
                <w:sz w:val="20"/>
                <w:szCs w:val="20"/>
              </w:rPr>
              <w:t>39</w:t>
            </w:r>
            <w:r w:rsidR="00E02223" w:rsidRPr="00E0222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0222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7711D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7711D8">
              <w:rPr>
                <w:rFonts w:ascii="Arial" w:hAnsi="Arial" w:cs="Arial"/>
                <w:bCs/>
                <w:sz w:val="20"/>
                <w:szCs w:val="20"/>
              </w:rPr>
              <w:t>punktów, zgodnie z zestawieniem opublikowanym na stronie:</w:t>
            </w:r>
          </w:p>
          <w:p w:rsidR="00F85679" w:rsidRDefault="00F21830" w:rsidP="00F8567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F85679" w:rsidRPr="007711D8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http://www.cpubenchmark.net/cpu_list.php</w:t>
              </w:r>
            </w:hyperlink>
            <w:r w:rsidR="00F85679" w:rsidRPr="007711D8">
              <w:rPr>
                <w:rFonts w:ascii="Arial" w:hAnsi="Arial" w:cs="Arial"/>
                <w:bCs/>
                <w:sz w:val="20"/>
                <w:szCs w:val="20"/>
              </w:rPr>
              <w:t xml:space="preserve">  w dniu ogłoszenia niniejszego postępowania a stanowiącym Załącznik nr 8 do SIWZ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1 dysk twardy typu SSD z interfejsem M.2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3.0 x4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o pojemności co najmniej 500 GB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1 dysk twardy typu SSD z interfejsem M.2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3.0 x4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o pojemności co najmniej 1000 GB</w:t>
            </w:r>
          </w:p>
          <w:p w:rsidR="00F85679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1 dysk typu HDD o pojemności co najmniej 4 TB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Pamięć RAM DDR4 o pojemności całkowitej 64 GB (4x16GB), częstotliwość taktowania  3 600MHz,  o współczynniku latencji nie dłuższym niż CL17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Dedykowana karta graficzna z pamięcią własną co najmniej 8 GB, umożliwiającą wyświetlenie obrazu o rozdzielczości min 4096 × 2160 pikseli z zamontowanym układem  chłodzenia zapewniającym odpowiednie odprowadzanie ciepła.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Wsparcie dla równoległej technologii obliczeniowej CUDA oraz aplikacji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Blender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i 3DMax;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Wydajność karty graficznej oceniona na co najmniej </w:t>
            </w:r>
            <w:r w:rsidRPr="00E02223">
              <w:rPr>
                <w:rFonts w:ascii="Arial" w:hAnsi="Arial" w:cs="Arial"/>
                <w:sz w:val="20"/>
                <w:szCs w:val="20"/>
              </w:rPr>
              <w:t>19</w:t>
            </w:r>
            <w:r w:rsidR="00E02223" w:rsidRPr="00E02223">
              <w:rPr>
                <w:rFonts w:ascii="Arial" w:hAnsi="Arial" w:cs="Arial"/>
                <w:sz w:val="20"/>
                <w:szCs w:val="20"/>
              </w:rPr>
              <w:t>3</w:t>
            </w:r>
            <w:r w:rsidR="00E02223">
              <w:rPr>
                <w:rFonts w:ascii="Arial" w:hAnsi="Arial" w:cs="Arial"/>
                <w:sz w:val="20"/>
                <w:szCs w:val="20"/>
              </w:rPr>
              <w:t>50</w:t>
            </w:r>
            <w:r w:rsidRPr="007711D8">
              <w:rPr>
                <w:rFonts w:ascii="Arial" w:hAnsi="Arial" w:cs="Arial"/>
                <w:sz w:val="20"/>
                <w:szCs w:val="20"/>
              </w:rPr>
              <w:t xml:space="preserve"> punktów w teście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VideocardBenchmarks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opublikowanym na stronie </w:t>
            </w:r>
            <w:hyperlink r:id="rId8" w:history="1">
              <w:r w:rsidRPr="007711D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http://www.videocardbenchmark.net/gpu_list.php</w:t>
              </w:r>
            </w:hyperlink>
            <w:r w:rsidRPr="007711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1D8">
              <w:rPr>
                <w:rFonts w:ascii="Arial" w:hAnsi="Arial" w:cs="Arial"/>
                <w:bCs/>
                <w:sz w:val="20"/>
                <w:szCs w:val="20"/>
              </w:rPr>
              <w:t xml:space="preserve">w dniu </w:t>
            </w:r>
            <w:r w:rsidRPr="007711D8">
              <w:rPr>
                <w:rFonts w:ascii="Arial" w:hAnsi="Arial" w:cs="Arial"/>
                <w:bCs/>
                <w:sz w:val="20"/>
                <w:szCs w:val="20"/>
              </w:rPr>
              <w:lastRenderedPageBreak/>
              <w:t>ogłoszenia niniejszego postępowania a stanowiącym Załącznik nr 9 do SIWZ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Wymagana obsługa najnowszych standardów DIRECTX oraz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</w:p>
          <w:p w:rsidR="00F85679" w:rsidRPr="00F85679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Możliwość podłączenia co najmniej 2 monitorów.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Karta dźwiękowa Zgodna z High Definition (HD) Audio ze złączami wejściowymi na przedniej/górnej ścianie komputera oraz wejściowymi i wyjściowymi na tylnej ścianie komputera.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Obudowa z przednim lub górnym panelem zawierającym: co najmniej 2 złącza USB 2.0; co najmniej 2 złącza USB 3.0; wejściem mikrofonowym; wyjściem słuchawkowym, czytnikiem kart SD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Złącza na tylnej ścianie: co najmniej 4 złącza USB w tym co najmniej 2 USB3, wejście audio, 2 wyjścia audio, RJ45, wyjścia grafiki.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Napęd optyczny umożliwiający odczyt i zapis płyt w standardach CD, DVD, DVD+DL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Karta sieciowa Ethernet umożliwiająca transmisję z prędkościami: 100/1000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>/s,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Klawiatura pełnowymiarowa, układ typu QWERTY (polski programisty), przewodowa podłączana przez port USB 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Przewodowa mysz z sensorem optycznym i rolką, podłączana do portu USB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9" w:rsidRPr="008D19A0" w:rsidTr="001D5CC5">
        <w:tc>
          <w:tcPr>
            <w:tcW w:w="704" w:type="dxa"/>
            <w:shd w:val="clear" w:color="auto" w:fill="auto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F85679" w:rsidRPr="007711D8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  <w:r w:rsidRPr="007711D8">
              <w:rPr>
                <w:rFonts w:ascii="Arial" w:hAnsi="Arial" w:cs="Arial"/>
              </w:rPr>
              <w:t>BIOS musi posiadać możliwości:</w:t>
            </w:r>
          </w:p>
          <w:p w:rsidR="00F85679" w:rsidRPr="007711D8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  <w:r w:rsidRPr="007711D8">
              <w:rPr>
                <w:rFonts w:ascii="Arial" w:hAnsi="Arial" w:cs="Arial"/>
              </w:rPr>
              <w:t xml:space="preserve">- ustawienia hasła dostępu do </w:t>
            </w:r>
            <w:proofErr w:type="spellStart"/>
            <w:r w:rsidRPr="007711D8">
              <w:rPr>
                <w:rFonts w:ascii="Arial" w:hAnsi="Arial" w:cs="Arial"/>
              </w:rPr>
              <w:t>BIOSu</w:t>
            </w:r>
            <w:proofErr w:type="spellEnd"/>
            <w:r w:rsidRPr="007711D8">
              <w:rPr>
                <w:rFonts w:ascii="Arial" w:hAnsi="Arial" w:cs="Arial"/>
              </w:rPr>
              <w:t xml:space="preserve"> (administratora), </w:t>
            </w:r>
          </w:p>
          <w:p w:rsidR="00F85679" w:rsidRPr="007711D8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  <w:r w:rsidRPr="007711D8">
              <w:rPr>
                <w:rFonts w:ascii="Arial" w:hAnsi="Arial" w:cs="Arial"/>
              </w:rPr>
              <w:t>- blokadę portów USB, COM (jeżeli dostępne);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możliwość wyłączenia w BIOS-ie portów USB;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- kontrola sekwencji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bootującej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start systemu z dysku twardego, czytnika CD/DVD, urządzenia USB;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</w:p>
        </w:tc>
      </w:tr>
      <w:tr w:rsidR="00F85679" w:rsidRPr="008D19A0" w:rsidTr="00F72859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F85679" w:rsidRPr="007711D8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  <w:r w:rsidRPr="007711D8">
              <w:rPr>
                <w:rFonts w:ascii="Arial" w:hAnsi="Arial" w:cs="Arial"/>
              </w:rPr>
              <w:t xml:space="preserve">Zasilacz: </w:t>
            </w:r>
          </w:p>
          <w:p w:rsidR="00F85679" w:rsidRPr="007711D8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  <w:r w:rsidRPr="007711D8">
              <w:rPr>
                <w:rFonts w:ascii="Arial" w:hAnsi="Arial" w:cs="Arial"/>
              </w:rPr>
              <w:t>Moc 850W, standard ATX, Certyfikat 80 Plus Gold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</w:p>
        </w:tc>
      </w:tr>
      <w:tr w:rsidR="00F85679" w:rsidRPr="008D19A0" w:rsidTr="00F72859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System operacyjny dla zastosowań profesjonalnych w polskiej wersji językowej umożliwiający zarządzanie lokalne oraz za pomocą centralnego kontrolera usług katalogowych </w:t>
            </w:r>
            <w:proofErr w:type="spellStart"/>
            <w:r w:rsidRPr="007711D8">
              <w:rPr>
                <w:rFonts w:ascii="Arial" w:hAnsi="Arial" w:cs="Arial"/>
                <w:sz w:val="20"/>
                <w:szCs w:val="20"/>
              </w:rPr>
              <w:t>ActiveDirectory</w:t>
            </w:r>
            <w:proofErr w:type="spellEnd"/>
            <w:r w:rsidRPr="007711D8">
              <w:rPr>
                <w:rFonts w:ascii="Arial" w:hAnsi="Arial" w:cs="Arial"/>
                <w:sz w:val="20"/>
                <w:szCs w:val="20"/>
              </w:rPr>
              <w:t xml:space="preserve"> elementów środowisk użytkowników i komputerów takich jak: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podłączanie lub usuwanie dysków sieciowych,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tworzenie, modyfikowanie lub usuwanie zmiennych środowiskowych,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tworzenie, modyfikowanie lub anulowanie udostępniania udziałów dyskowych,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tworzenie, modyfikowanie lub usuwanie połączeń drukarek lokalnych oraz dostępnych w sieci lokalnej za pomocą protokołu TCP/IP,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włączanie lub wyłączanie urządzeń sprzętowych lub klas urządzeń np. pamięci USB,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lastRenderedPageBreak/>
              <w:t>- modyfikację menu głównego graficznego interfejsu użytkownika,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tworzenie, modyfikowanie lub usuwanie grup i użytkowników lokalnych,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tworzenie i modyfikację restrykcji dotyczących haseł (długość, okres ważności, złożoność) kont użytkowników lokalnych i sieciowych,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 xml:space="preserve">- modyfikację ustawień lokalnej zapory sieciowej z możliwością ograniczania uprawnień administratora lokalnego, 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- wprowadzanie indywidualnych modyfikacji centralnej bazy danych ustawień konfiguracyjnych systemu operacyjnego i aplikacji.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F85679" w:rsidRPr="007711D8" w:rsidRDefault="00F85679" w:rsidP="00F856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1D8">
              <w:rPr>
                <w:rFonts w:ascii="Arial" w:hAnsi="Arial" w:cs="Arial"/>
                <w:sz w:val="20"/>
                <w:szCs w:val="20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</w:tc>
        <w:tc>
          <w:tcPr>
            <w:tcW w:w="3827" w:type="dxa"/>
          </w:tcPr>
          <w:p w:rsidR="00F85679" w:rsidRPr="008D19A0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</w:p>
        </w:tc>
      </w:tr>
      <w:tr w:rsidR="00F85679" w:rsidRPr="008D19A0" w:rsidTr="00F72859">
        <w:tc>
          <w:tcPr>
            <w:tcW w:w="704" w:type="dxa"/>
          </w:tcPr>
          <w:p w:rsidR="00F85679" w:rsidRPr="008D19A0" w:rsidRDefault="00F85679" w:rsidP="00F85679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F85679" w:rsidRDefault="00F85679" w:rsidP="00F85679">
            <w:pPr>
              <w:tabs>
                <w:tab w:val="left" w:pos="11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711D8">
              <w:rPr>
                <w:rFonts w:ascii="Arial" w:hAnsi="Arial" w:cs="Arial"/>
                <w:bCs/>
                <w:sz w:val="20"/>
                <w:szCs w:val="20"/>
              </w:rPr>
              <w:t>Gwarancja minimum 36 miesięcy</w:t>
            </w:r>
          </w:p>
          <w:p w:rsidR="00F85679" w:rsidRPr="007711D8" w:rsidRDefault="00F85679" w:rsidP="00F85679">
            <w:pPr>
              <w:tabs>
                <w:tab w:val="left" w:pos="11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679" w:rsidRPr="008D19A0" w:rsidRDefault="00F85679" w:rsidP="00F85679">
            <w:pPr>
              <w:pStyle w:val="Standardowywlewo"/>
              <w:jc w:val="left"/>
              <w:rPr>
                <w:rFonts w:ascii="Arial" w:hAnsi="Arial" w:cs="Arial"/>
              </w:rPr>
            </w:pPr>
          </w:p>
        </w:tc>
      </w:tr>
    </w:tbl>
    <w:p w:rsidR="008D19A0" w:rsidRPr="008D19A0" w:rsidRDefault="008D19A0" w:rsidP="008D19A0">
      <w:pPr>
        <w:pStyle w:val="Akapitzlist"/>
        <w:spacing w:line="259" w:lineRule="auto"/>
        <w:rPr>
          <w:rFonts w:ascii="Arial" w:hAnsi="Arial" w:cs="Arial"/>
        </w:rPr>
      </w:pPr>
    </w:p>
    <w:p w:rsidR="001D5CC5" w:rsidRPr="001D5CC5" w:rsidRDefault="001D5CC5" w:rsidP="001D5CC5">
      <w:pPr>
        <w:pStyle w:val="Akapitzlist"/>
        <w:numPr>
          <w:ilvl w:val="0"/>
          <w:numId w:val="73"/>
        </w:numPr>
        <w:spacing w:line="259" w:lineRule="auto"/>
        <w:rPr>
          <w:rFonts w:ascii="Arial" w:hAnsi="Arial" w:cs="Arial"/>
        </w:rPr>
      </w:pPr>
      <w:r w:rsidRPr="001D5CC5">
        <w:rPr>
          <w:rFonts w:ascii="Arial" w:hAnsi="Arial" w:cs="Arial"/>
          <w:b/>
        </w:rPr>
        <w:t xml:space="preserve">Monitor  – 2 </w:t>
      </w:r>
      <w:proofErr w:type="spellStart"/>
      <w:r w:rsidRPr="001D5CC5">
        <w:rPr>
          <w:rFonts w:ascii="Arial" w:hAnsi="Arial" w:cs="Arial"/>
          <w:b/>
        </w:rPr>
        <w:t>szt</w:t>
      </w:r>
      <w:proofErr w:type="spellEnd"/>
      <w:r w:rsidRPr="001D5CC5">
        <w:rPr>
          <w:rFonts w:ascii="Arial" w:hAnsi="Arial" w:cs="Arial"/>
        </w:rPr>
        <w:t>…………………………………</w:t>
      </w:r>
      <w:r w:rsidR="0010509A">
        <w:rPr>
          <w:rFonts w:ascii="Arial" w:hAnsi="Arial" w:cs="Arial"/>
        </w:rPr>
        <w:t>………..</w:t>
      </w:r>
      <w:r w:rsidRPr="001D5CC5">
        <w:rPr>
          <w:rFonts w:ascii="Arial" w:hAnsi="Arial" w:cs="Arial"/>
        </w:rPr>
        <w:t>……………….………….…………..…</w:t>
      </w:r>
    </w:p>
    <w:p w:rsidR="001D5CC5" w:rsidRPr="0010509A" w:rsidRDefault="001D5CC5" w:rsidP="001D5CC5">
      <w:pPr>
        <w:pStyle w:val="Akapitzlis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1D5CC5">
        <w:rPr>
          <w:rFonts w:ascii="Arial" w:hAnsi="Arial" w:cs="Arial"/>
        </w:rPr>
        <w:t xml:space="preserve">                                                     </w:t>
      </w:r>
      <w:r w:rsidRPr="0010509A">
        <w:rPr>
          <w:rFonts w:ascii="Arial" w:hAnsi="Arial" w:cs="Arial"/>
          <w:sz w:val="20"/>
          <w:szCs w:val="20"/>
        </w:rPr>
        <w:t>typ, model oferowanego przedmiotu zamówienia</w:t>
      </w:r>
    </w:p>
    <w:p w:rsidR="001D5CC5" w:rsidRPr="00BF5CA6" w:rsidRDefault="001D5CC5" w:rsidP="001D5CC5">
      <w:pPr>
        <w:pStyle w:val="Akapitzlist"/>
        <w:spacing w:after="160" w:line="259" w:lineRule="auto"/>
        <w:jc w:val="left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58"/>
        <w:gridCol w:w="3827"/>
      </w:tblGrid>
      <w:tr w:rsidR="000069A4" w:rsidRPr="004D40EF" w:rsidTr="000069A4">
        <w:tc>
          <w:tcPr>
            <w:tcW w:w="704" w:type="dxa"/>
          </w:tcPr>
          <w:p w:rsidR="000069A4" w:rsidRPr="004D40EF" w:rsidRDefault="000069A4" w:rsidP="001F54A5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4D40E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58" w:type="dxa"/>
          </w:tcPr>
          <w:p w:rsidR="000069A4" w:rsidRPr="004D40EF" w:rsidRDefault="000069A4" w:rsidP="001F54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40EF">
              <w:rPr>
                <w:rFonts w:ascii="Arial" w:hAnsi="Arial" w:cs="Arial"/>
                <w:b/>
                <w:sz w:val="20"/>
                <w:szCs w:val="20"/>
              </w:rPr>
              <w:t>Parametry, funkcjonalności</w:t>
            </w:r>
          </w:p>
        </w:tc>
        <w:tc>
          <w:tcPr>
            <w:tcW w:w="3827" w:type="dxa"/>
          </w:tcPr>
          <w:p w:rsidR="000069A4" w:rsidRPr="004D40EF" w:rsidRDefault="000069A4" w:rsidP="001F54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40EF">
              <w:rPr>
                <w:rFonts w:ascii="Arial" w:hAnsi="Arial" w:cs="Arial"/>
                <w:b/>
                <w:sz w:val="20"/>
                <w:szCs w:val="20"/>
              </w:rPr>
              <w:t>Oferowany przedmiot zamówienia</w:t>
            </w: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Monitor zewnętrzny o przekątnej ekranu minimum 32’’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Wyświetlana rozdzielczość minimum 3840 x 2160 pikseli (UHD 4K)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Liczba wyświetlanych kolorów: co najmniej 1,07 miliarda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 xml:space="preserve">Przestrzeń odwzorowania barw: 100% odwzorowania przestrzeni </w:t>
            </w:r>
            <w:proofErr w:type="spellStart"/>
            <w:r w:rsidRPr="00AB04C1"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  <w:r w:rsidRPr="00AB04C1">
              <w:rPr>
                <w:rFonts w:ascii="Arial" w:hAnsi="Arial" w:cs="Arial"/>
                <w:sz w:val="20"/>
                <w:szCs w:val="20"/>
              </w:rPr>
              <w:t xml:space="preserve"> i Rec. 709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Głębia bitowa: 10 bit.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Matryca LED IPS – matowa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Czas reakcji matrycy: maksymalnie 4 ms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Technologia ochrony oczu: Redukcja migotania (</w:t>
            </w:r>
            <w:proofErr w:type="spellStart"/>
            <w:r w:rsidRPr="00AB04C1">
              <w:rPr>
                <w:rFonts w:ascii="Arial" w:hAnsi="Arial" w:cs="Arial"/>
                <w:sz w:val="20"/>
                <w:szCs w:val="20"/>
              </w:rPr>
              <w:t>Flicker</w:t>
            </w:r>
            <w:proofErr w:type="spellEnd"/>
            <w:r w:rsidRPr="00AB04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C1">
              <w:rPr>
                <w:rFonts w:ascii="Arial" w:hAnsi="Arial" w:cs="Arial"/>
                <w:sz w:val="20"/>
                <w:szCs w:val="20"/>
              </w:rPr>
              <w:t>free</w:t>
            </w:r>
            <w:proofErr w:type="spellEnd"/>
            <w:r w:rsidRPr="00AB0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 xml:space="preserve">Wbudowane głośniki 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Kąt widzenia w pionie / w poziomie  nie mniejszy niż 178 stopni / 178 stopni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Obudowa umożliwiająca pochylanie wyświetlacza i jego obrót, zmianę wysokości oraz instalację na uchwycie typu VESA, praca w trybie pionowym (PIVOT)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Proporcje obrazu 16:9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 xml:space="preserve">Częstotliwość odświeżania: co najmniej 60 </w:t>
            </w:r>
            <w:proofErr w:type="spellStart"/>
            <w:r w:rsidRPr="00AB04C1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 xml:space="preserve">Obsługa co najmniej złącz: HDMI x 1, </w:t>
            </w:r>
            <w:proofErr w:type="spellStart"/>
            <w:r w:rsidRPr="00AB04C1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AB04C1">
              <w:rPr>
                <w:rFonts w:ascii="Arial" w:hAnsi="Arial" w:cs="Arial"/>
                <w:sz w:val="20"/>
                <w:szCs w:val="20"/>
              </w:rPr>
              <w:t xml:space="preserve"> x 1, Mini </w:t>
            </w:r>
            <w:proofErr w:type="spellStart"/>
            <w:r w:rsidRPr="00AB04C1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AB04C1">
              <w:rPr>
                <w:rFonts w:ascii="Arial" w:hAnsi="Arial" w:cs="Arial"/>
                <w:sz w:val="20"/>
                <w:szCs w:val="20"/>
              </w:rPr>
              <w:t xml:space="preserve"> x 1, wyjście liniowe audio.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Złącza sygnałowe zapewniające podłączenia dwóch monitorów do jednego komputera stacjonarnego  dostarczanych w niniejszym zamówieniu. Należy dostarczyć właściwe przewody sygnałowe.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Zasilacz wbudowany</w:t>
            </w:r>
          </w:p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 xml:space="preserve">Napięcie zasilania 240 V </w:t>
            </w:r>
          </w:p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>Zużycie energii nie większe niż 0,5W - w stanie czuwania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sz w:val="20"/>
                <w:szCs w:val="20"/>
              </w:rPr>
              <w:t xml:space="preserve">Zgodność z normami co najmniej CE, TCO 6.0, </w:t>
            </w:r>
            <w:proofErr w:type="spellStart"/>
            <w:r w:rsidRPr="00AB04C1">
              <w:rPr>
                <w:rFonts w:ascii="Arial" w:hAnsi="Arial" w:cs="Arial"/>
                <w:sz w:val="20"/>
                <w:szCs w:val="20"/>
              </w:rPr>
              <w:t>EnergyStar</w:t>
            </w:r>
            <w:proofErr w:type="spellEnd"/>
            <w:r w:rsidRPr="00AB04C1">
              <w:rPr>
                <w:rFonts w:ascii="Arial" w:hAnsi="Arial" w:cs="Arial"/>
                <w:sz w:val="20"/>
                <w:szCs w:val="20"/>
              </w:rPr>
              <w:t xml:space="preserve"> 6.0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C1" w:rsidRPr="004D40EF" w:rsidTr="000069A4">
        <w:tc>
          <w:tcPr>
            <w:tcW w:w="704" w:type="dxa"/>
          </w:tcPr>
          <w:p w:rsidR="00AB04C1" w:rsidRPr="004D40EF" w:rsidRDefault="00AB04C1" w:rsidP="00AB04C1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AB04C1" w:rsidRPr="00AB04C1" w:rsidRDefault="00AB04C1" w:rsidP="00AB04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4C1">
              <w:rPr>
                <w:rFonts w:ascii="Arial" w:hAnsi="Arial" w:cs="Arial"/>
                <w:bCs/>
                <w:sz w:val="20"/>
                <w:szCs w:val="20"/>
              </w:rPr>
              <w:t>Gwarancja minimum 36 miesięcy</w:t>
            </w:r>
          </w:p>
        </w:tc>
        <w:tc>
          <w:tcPr>
            <w:tcW w:w="3827" w:type="dxa"/>
          </w:tcPr>
          <w:p w:rsidR="00AB04C1" w:rsidRPr="004D40EF" w:rsidRDefault="00AB04C1" w:rsidP="00AB04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1247" w:rsidRDefault="00A41247" w:rsidP="00A41247">
      <w:pPr>
        <w:rPr>
          <w:rFonts w:ascii="Arial" w:hAnsi="Arial" w:cs="Arial"/>
        </w:rPr>
      </w:pPr>
    </w:p>
    <w:p w:rsidR="004D40EF" w:rsidRPr="0041262C" w:rsidRDefault="004D40EF" w:rsidP="00A41247">
      <w:pPr>
        <w:rPr>
          <w:rFonts w:ascii="Arial" w:hAnsi="Arial" w:cs="Arial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10509A" w:rsidRDefault="00A41247" w:rsidP="0010509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Default="00A41247" w:rsidP="00F21830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9"/>
      <w:footerReference w:type="default" r:id="rId10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21" w:rsidRDefault="00C51E21">
      <w:pPr>
        <w:spacing w:after="0" w:line="240" w:lineRule="auto"/>
      </w:pPr>
      <w:r>
        <w:separator/>
      </w:r>
    </w:p>
  </w:endnote>
  <w:endnote w:type="continuationSeparator" w:id="0">
    <w:p w:rsidR="00C51E21" w:rsidRDefault="00C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Default="00C51E21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21" w:rsidRDefault="00C51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E21" w:rsidRDefault="00C5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Pr="005652B8" w:rsidRDefault="00C51E21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KZp.2730.44.20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78826ECC"/>
    <w:name w:val="WW8Num112222222324"/>
    <w:lvl w:ilvl="0" w:tplc="46348606">
      <w:start w:val="1"/>
      <w:numFmt w:val="decimal"/>
      <w:isLgl/>
      <w:lvlText w:val="15.%1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800A7EE8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06C88812"/>
    <w:name w:val="WW8Num112222222322422"/>
    <w:lvl w:ilvl="0" w:tplc="EA2C2760">
      <w:start w:val="1"/>
      <w:numFmt w:val="decimal"/>
      <w:lvlText w:val="16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A540CC"/>
    <w:multiLevelType w:val="hybridMultilevel"/>
    <w:tmpl w:val="2CA886D2"/>
    <w:lvl w:ilvl="0" w:tplc="414EB6F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64002C6F"/>
    <w:multiLevelType w:val="hybridMultilevel"/>
    <w:tmpl w:val="4A9E0A0C"/>
    <w:lvl w:ilvl="0" w:tplc="12A21CDA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2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58409CE"/>
    <w:multiLevelType w:val="hybridMultilevel"/>
    <w:tmpl w:val="ACA82C74"/>
    <w:lvl w:ilvl="0" w:tplc="16900D9E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4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70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6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5"/>
  </w:num>
  <w:num w:numId="23">
    <w:abstractNumId w:val="68"/>
  </w:num>
  <w:num w:numId="24">
    <w:abstractNumId w:val="74"/>
  </w:num>
  <w:num w:numId="25">
    <w:abstractNumId w:val="47"/>
  </w:num>
  <w:num w:numId="26">
    <w:abstractNumId w:val="69"/>
  </w:num>
  <w:num w:numId="27">
    <w:abstractNumId w:val="67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3"/>
  </w:num>
  <w:num w:numId="35">
    <w:abstractNumId w:val="25"/>
  </w:num>
  <w:num w:numId="36">
    <w:abstractNumId w:val="14"/>
  </w:num>
  <w:num w:numId="37">
    <w:abstractNumId w:val="73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1"/>
  </w:num>
  <w:num w:numId="44">
    <w:abstractNumId w:val="41"/>
  </w:num>
  <w:num w:numId="45">
    <w:abstractNumId w:val="61"/>
  </w:num>
  <w:num w:numId="46">
    <w:abstractNumId w:val="16"/>
  </w:num>
  <w:num w:numId="47">
    <w:abstractNumId w:val="38"/>
  </w:num>
  <w:num w:numId="48">
    <w:abstractNumId w:val="60"/>
  </w:num>
  <w:num w:numId="49">
    <w:abstractNumId w:val="5"/>
  </w:num>
  <w:num w:numId="50">
    <w:abstractNumId w:val="17"/>
  </w:num>
  <w:num w:numId="51">
    <w:abstractNumId w:val="62"/>
  </w:num>
  <w:num w:numId="52">
    <w:abstractNumId w:val="24"/>
  </w:num>
  <w:num w:numId="53">
    <w:abstractNumId w:val="59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7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8"/>
  </w:num>
  <w:num w:numId="65">
    <w:abstractNumId w:val="2"/>
  </w:num>
  <w:num w:numId="66">
    <w:abstractNumId w:val="64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2"/>
  </w:num>
  <w:num w:numId="75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37BA8"/>
    <w:rsid w:val="00241CF8"/>
    <w:rsid w:val="0024457B"/>
    <w:rsid w:val="00284E28"/>
    <w:rsid w:val="002C4299"/>
    <w:rsid w:val="002E19F1"/>
    <w:rsid w:val="00303CEF"/>
    <w:rsid w:val="0030485C"/>
    <w:rsid w:val="00320702"/>
    <w:rsid w:val="00345255"/>
    <w:rsid w:val="003A68DF"/>
    <w:rsid w:val="003E4ADD"/>
    <w:rsid w:val="004128CC"/>
    <w:rsid w:val="004A1589"/>
    <w:rsid w:val="004D40EF"/>
    <w:rsid w:val="0052444C"/>
    <w:rsid w:val="0053545D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11D8"/>
    <w:rsid w:val="00774590"/>
    <w:rsid w:val="007925D2"/>
    <w:rsid w:val="007A08FB"/>
    <w:rsid w:val="008443CB"/>
    <w:rsid w:val="008D19A0"/>
    <w:rsid w:val="00910073"/>
    <w:rsid w:val="00915689"/>
    <w:rsid w:val="009306C7"/>
    <w:rsid w:val="00935872"/>
    <w:rsid w:val="00935B09"/>
    <w:rsid w:val="009958CD"/>
    <w:rsid w:val="009C240B"/>
    <w:rsid w:val="009D3AE6"/>
    <w:rsid w:val="009E2A75"/>
    <w:rsid w:val="009E3FBB"/>
    <w:rsid w:val="00A238DA"/>
    <w:rsid w:val="00A407AF"/>
    <w:rsid w:val="00A41247"/>
    <w:rsid w:val="00A71EE2"/>
    <w:rsid w:val="00AB04C1"/>
    <w:rsid w:val="00AB6442"/>
    <w:rsid w:val="00AD68D5"/>
    <w:rsid w:val="00AE1613"/>
    <w:rsid w:val="00AE1EC1"/>
    <w:rsid w:val="00B00A84"/>
    <w:rsid w:val="00B02AE4"/>
    <w:rsid w:val="00B70380"/>
    <w:rsid w:val="00B73B4A"/>
    <w:rsid w:val="00B9733F"/>
    <w:rsid w:val="00BA42F3"/>
    <w:rsid w:val="00BA7283"/>
    <w:rsid w:val="00BC093C"/>
    <w:rsid w:val="00BF5CA6"/>
    <w:rsid w:val="00C17BA3"/>
    <w:rsid w:val="00C51E21"/>
    <w:rsid w:val="00CB0747"/>
    <w:rsid w:val="00CC3FDB"/>
    <w:rsid w:val="00CE6BBA"/>
    <w:rsid w:val="00D2295A"/>
    <w:rsid w:val="00D27A60"/>
    <w:rsid w:val="00D80183"/>
    <w:rsid w:val="00DD2F72"/>
    <w:rsid w:val="00DF3892"/>
    <w:rsid w:val="00E02223"/>
    <w:rsid w:val="00E52352"/>
    <w:rsid w:val="00E57788"/>
    <w:rsid w:val="00F129B4"/>
    <w:rsid w:val="00F20F97"/>
    <w:rsid w:val="00F21830"/>
    <w:rsid w:val="00F41748"/>
    <w:rsid w:val="00F551E7"/>
    <w:rsid w:val="00F85679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4</cp:revision>
  <cp:lastPrinted>2020-11-06T08:41:00Z</cp:lastPrinted>
  <dcterms:created xsi:type="dcterms:W3CDTF">2020-11-06T09:18:00Z</dcterms:created>
  <dcterms:modified xsi:type="dcterms:W3CDTF">2020-11-06T09:21:00Z</dcterms:modified>
</cp:coreProperties>
</file>